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58174">
      <w:pPr>
        <w:keepNext w:val="0"/>
        <w:keepLines w:val="0"/>
        <w:pageBreakBefore w:val="0"/>
        <w:kinsoku/>
        <w:wordWrap/>
        <w:overflowPunct/>
        <w:topLinePunct w:val="0"/>
        <w:bidi w:val="0"/>
        <w:adjustRightInd/>
        <w:spacing w:line="360" w:lineRule="auto"/>
        <w:jc w:val="center"/>
        <w:textAlignment w:val="auto"/>
        <w:rPr>
          <w:rFonts w:hint="eastAsia" w:eastAsia="宋体"/>
          <w:b/>
          <w:bCs/>
          <w:sz w:val="48"/>
          <w:szCs w:val="56"/>
          <w:lang w:eastAsia="zh-CN"/>
        </w:rPr>
      </w:pPr>
      <w:r>
        <w:rPr>
          <w:rFonts w:hint="eastAsia" w:eastAsia="宋体"/>
          <w:b/>
          <w:bCs/>
          <w:sz w:val="48"/>
          <w:szCs w:val="56"/>
          <w:lang w:eastAsia="zh-CN"/>
        </w:rPr>
        <w:drawing>
          <wp:inline distT="0" distB="0" distL="114300" distR="114300">
            <wp:extent cx="5934075" cy="8391525"/>
            <wp:effectExtent l="0" t="0" r="9525" b="9525"/>
            <wp:docPr id="1" name="图片 1" descr="招标文件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封面"/>
                    <pic:cNvPicPr>
                      <a:picLocks noChangeAspect="1"/>
                    </pic:cNvPicPr>
                  </pic:nvPicPr>
                  <pic:blipFill>
                    <a:blip r:embed="rId5"/>
                    <a:stretch>
                      <a:fillRect/>
                    </a:stretch>
                  </pic:blipFill>
                  <pic:spPr>
                    <a:xfrm>
                      <a:off x="0" y="0"/>
                      <a:ext cx="5934075" cy="8391525"/>
                    </a:xfrm>
                    <a:prstGeom prst="rect">
                      <a:avLst/>
                    </a:prstGeom>
                  </pic:spPr>
                </pic:pic>
              </a:graphicData>
            </a:graphic>
          </wp:inline>
        </w:drawing>
      </w:r>
    </w:p>
    <w:p w14:paraId="60EE2D8E">
      <w:pPr>
        <w:rPr>
          <w:rFonts w:hint="eastAsia"/>
          <w:b/>
          <w:bCs/>
          <w:sz w:val="44"/>
          <w:szCs w:val="52"/>
        </w:rPr>
      </w:pPr>
      <w:r>
        <w:rPr>
          <w:rFonts w:hint="eastAsia"/>
          <w:b/>
          <w:bCs/>
          <w:sz w:val="44"/>
          <w:szCs w:val="52"/>
        </w:rPr>
        <w:br w:type="page"/>
      </w:r>
    </w:p>
    <w:p w14:paraId="3C4B7857">
      <w:pPr>
        <w:keepNext w:val="0"/>
        <w:keepLines w:val="0"/>
        <w:pageBreakBefore w:val="0"/>
        <w:kinsoku/>
        <w:wordWrap/>
        <w:overflowPunct/>
        <w:topLinePunct w:val="0"/>
        <w:bidi w:val="0"/>
        <w:adjustRightInd/>
        <w:spacing w:line="360" w:lineRule="auto"/>
        <w:jc w:val="center"/>
        <w:textAlignment w:val="auto"/>
        <w:rPr>
          <w:rFonts w:hint="eastAsia"/>
          <w:b/>
          <w:bCs/>
          <w:sz w:val="44"/>
          <w:szCs w:val="52"/>
        </w:rPr>
      </w:pPr>
    </w:p>
    <w:p w14:paraId="08A22ED2">
      <w:pPr>
        <w:keepNext w:val="0"/>
        <w:keepLines w:val="0"/>
        <w:pageBreakBefore w:val="0"/>
        <w:kinsoku/>
        <w:wordWrap/>
        <w:overflowPunct/>
        <w:topLinePunct w:val="0"/>
        <w:bidi w:val="0"/>
        <w:adjustRightInd/>
        <w:spacing w:line="360" w:lineRule="auto"/>
        <w:jc w:val="center"/>
        <w:textAlignment w:val="auto"/>
        <w:rPr>
          <w:b/>
          <w:bCs/>
          <w:sz w:val="44"/>
          <w:szCs w:val="52"/>
        </w:rPr>
      </w:pPr>
      <w:r>
        <w:rPr>
          <w:rFonts w:hint="eastAsia"/>
          <w:b/>
          <w:bCs/>
          <w:sz w:val="44"/>
          <w:szCs w:val="52"/>
        </w:rPr>
        <w:t>鲁山县粮食和物资储备服务中心鲁山县粮食储备体系升级改造项目（智能化信息监管系统）项目</w:t>
      </w:r>
    </w:p>
    <w:p w14:paraId="4C3AE13D">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cs="宋体"/>
          <w:b/>
          <w:sz w:val="84"/>
          <w:szCs w:val="84"/>
        </w:rPr>
      </w:pPr>
    </w:p>
    <w:p w14:paraId="446B7D68">
      <w:pPr>
        <w:bidi w:val="0"/>
        <w:rPr>
          <w:rFonts w:hint="eastAsia"/>
        </w:rPr>
      </w:pPr>
    </w:p>
    <w:p w14:paraId="43CC4C17">
      <w:pPr>
        <w:keepNext w:val="0"/>
        <w:keepLines w:val="0"/>
        <w:pageBreakBefore w:val="0"/>
        <w:kinsoku/>
        <w:wordWrap/>
        <w:overflowPunct/>
        <w:topLinePunct w:val="0"/>
        <w:bidi w:val="0"/>
        <w:adjustRightInd/>
        <w:snapToGrid w:val="0"/>
        <w:spacing w:line="360" w:lineRule="auto"/>
        <w:jc w:val="center"/>
        <w:textAlignment w:val="auto"/>
        <w:rPr>
          <w:rFonts w:hint="eastAsia" w:ascii="宋体" w:hAnsi="宋体" w:cs="宋体"/>
          <w:b/>
          <w:sz w:val="84"/>
          <w:szCs w:val="84"/>
        </w:rPr>
      </w:pPr>
      <w:r>
        <w:rPr>
          <w:rFonts w:hint="eastAsia" w:ascii="宋体" w:hAnsi="宋体" w:cs="宋体"/>
          <w:b/>
          <w:sz w:val="84"/>
          <w:szCs w:val="84"/>
        </w:rPr>
        <w:t>招标文件</w:t>
      </w:r>
    </w:p>
    <w:p w14:paraId="48E77EEE">
      <w:pPr>
        <w:keepNext w:val="0"/>
        <w:keepLines w:val="0"/>
        <w:pageBreakBefore w:val="0"/>
        <w:kinsoku/>
        <w:wordWrap/>
        <w:overflowPunct/>
        <w:topLinePunct w:val="0"/>
        <w:bidi w:val="0"/>
        <w:adjustRightInd/>
        <w:spacing w:line="360" w:lineRule="auto"/>
        <w:jc w:val="center"/>
        <w:textAlignment w:val="auto"/>
        <w:rPr>
          <w:rFonts w:hint="default" w:ascii="宋体" w:hAnsi="宋体" w:eastAsia="宋体" w:cs="宋体"/>
          <w:b/>
          <w:bCs/>
          <w:sz w:val="32"/>
          <w:szCs w:val="40"/>
          <w:highlight w:val="none"/>
          <w:lang w:val="en-US" w:eastAsia="zh-CN"/>
        </w:rPr>
      </w:pPr>
      <w:r>
        <w:rPr>
          <w:rFonts w:hint="eastAsia" w:ascii="宋体" w:hAnsi="宋体" w:cs="宋体"/>
          <w:b/>
          <w:bCs/>
          <w:sz w:val="32"/>
          <w:szCs w:val="40"/>
          <w:highlight w:val="none"/>
        </w:rPr>
        <w:t>采购编号：鲁采招标-2026-</w:t>
      </w:r>
      <w:r>
        <w:rPr>
          <w:rFonts w:hint="eastAsia" w:ascii="宋体" w:hAnsi="宋体" w:cs="宋体"/>
          <w:b/>
          <w:bCs/>
          <w:sz w:val="32"/>
          <w:szCs w:val="40"/>
          <w:highlight w:val="none"/>
          <w:lang w:val="en-US" w:eastAsia="zh-CN"/>
        </w:rPr>
        <w:t>54</w:t>
      </w:r>
    </w:p>
    <w:p w14:paraId="79FAABAB">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2A49729E">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5EFD0D45">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148C8B95">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13A979E0">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2DA09504">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359D3F5F">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00CB08A2">
      <w:pPr>
        <w:keepNext w:val="0"/>
        <w:keepLines w:val="0"/>
        <w:pageBreakBefore w:val="0"/>
        <w:kinsoku/>
        <w:wordWrap/>
        <w:overflowPunct/>
        <w:topLinePunct w:val="0"/>
        <w:bidi w:val="0"/>
        <w:adjustRightInd/>
        <w:spacing w:line="360" w:lineRule="auto"/>
        <w:textAlignment w:val="auto"/>
        <w:rPr>
          <w:rFonts w:hint="eastAsia"/>
          <w:b/>
          <w:bCs/>
          <w:sz w:val="44"/>
          <w:szCs w:val="52"/>
        </w:rPr>
      </w:pPr>
    </w:p>
    <w:p w14:paraId="7FFDEDC8">
      <w:pPr>
        <w:keepNext w:val="0"/>
        <w:keepLines w:val="0"/>
        <w:pageBreakBefore w:val="0"/>
        <w:kinsoku/>
        <w:wordWrap/>
        <w:overflowPunct/>
        <w:topLinePunct w:val="0"/>
        <w:bidi w:val="0"/>
        <w:adjustRightInd/>
        <w:spacing w:line="360" w:lineRule="auto"/>
        <w:textAlignment w:val="auto"/>
        <w:rPr>
          <w:rFonts w:hint="eastAsia"/>
          <w:b/>
          <w:bCs/>
          <w:sz w:val="40"/>
          <w:szCs w:val="48"/>
        </w:rPr>
      </w:pPr>
      <w:r>
        <w:rPr>
          <w:rFonts w:hint="eastAsia"/>
          <w:b/>
          <w:bCs/>
          <w:sz w:val="40"/>
          <w:szCs w:val="48"/>
        </w:rPr>
        <w:t xml:space="preserve">采  </w:t>
      </w:r>
      <w:r>
        <w:rPr>
          <w:rFonts w:hint="eastAsia"/>
          <w:b/>
          <w:bCs/>
          <w:sz w:val="40"/>
          <w:szCs w:val="48"/>
          <w:lang w:val="en-US" w:eastAsia="zh-CN"/>
        </w:rPr>
        <w:t xml:space="preserve"> </w:t>
      </w:r>
      <w:r>
        <w:rPr>
          <w:rFonts w:hint="eastAsia"/>
          <w:b/>
          <w:bCs/>
          <w:sz w:val="40"/>
          <w:szCs w:val="48"/>
        </w:rPr>
        <w:t xml:space="preserve">购 </w:t>
      </w:r>
      <w:r>
        <w:rPr>
          <w:rFonts w:hint="eastAsia"/>
          <w:b/>
          <w:bCs/>
          <w:sz w:val="40"/>
          <w:szCs w:val="48"/>
          <w:lang w:val="en-US" w:eastAsia="zh-CN"/>
        </w:rPr>
        <w:t xml:space="preserve">  </w:t>
      </w:r>
      <w:r>
        <w:rPr>
          <w:rFonts w:hint="eastAsia"/>
          <w:b/>
          <w:bCs/>
          <w:sz w:val="40"/>
          <w:szCs w:val="48"/>
        </w:rPr>
        <w:t>人：鲁山县粮食和物资储备服务中心</w:t>
      </w:r>
    </w:p>
    <w:p w14:paraId="5947B2A7">
      <w:pPr>
        <w:keepNext w:val="0"/>
        <w:keepLines w:val="0"/>
        <w:pageBreakBefore w:val="0"/>
        <w:kinsoku/>
        <w:wordWrap/>
        <w:overflowPunct/>
        <w:topLinePunct w:val="0"/>
        <w:bidi w:val="0"/>
        <w:adjustRightInd/>
        <w:spacing w:line="360" w:lineRule="auto"/>
        <w:textAlignment w:val="auto"/>
        <w:rPr>
          <w:rFonts w:hint="eastAsia"/>
          <w:b/>
          <w:bCs/>
          <w:sz w:val="40"/>
          <w:szCs w:val="48"/>
        </w:rPr>
      </w:pPr>
      <w:r>
        <w:rPr>
          <w:rFonts w:hint="eastAsia"/>
          <w:b/>
          <w:bCs/>
          <w:sz w:val="40"/>
          <w:szCs w:val="48"/>
        </w:rPr>
        <w:t>招标代理机构：大豫工程咨询有限公司</w:t>
      </w:r>
    </w:p>
    <w:p w14:paraId="5459D94F">
      <w:pPr>
        <w:keepNext w:val="0"/>
        <w:keepLines w:val="0"/>
        <w:pageBreakBefore w:val="0"/>
        <w:kinsoku/>
        <w:wordWrap/>
        <w:overflowPunct/>
        <w:topLinePunct w:val="0"/>
        <w:bidi w:val="0"/>
        <w:adjustRightInd/>
        <w:spacing w:line="360" w:lineRule="auto"/>
        <w:textAlignment w:val="auto"/>
        <w:rPr>
          <w:rFonts w:hint="eastAsia"/>
          <w:b/>
          <w:bCs/>
          <w:sz w:val="40"/>
          <w:szCs w:val="48"/>
        </w:rPr>
      </w:pPr>
      <w:r>
        <w:rPr>
          <w:rFonts w:hint="eastAsia"/>
          <w:b/>
          <w:bCs/>
          <w:sz w:val="40"/>
          <w:szCs w:val="48"/>
        </w:rPr>
        <w:t xml:space="preserve">日      </w:t>
      </w:r>
      <w:r>
        <w:rPr>
          <w:rFonts w:hint="eastAsia"/>
          <w:b/>
          <w:bCs/>
          <w:sz w:val="40"/>
          <w:szCs w:val="48"/>
          <w:lang w:val="en-US" w:eastAsia="zh-CN"/>
        </w:rPr>
        <w:t xml:space="preserve">  </w:t>
      </w:r>
      <w:r>
        <w:rPr>
          <w:rFonts w:hint="eastAsia"/>
          <w:b/>
          <w:bCs/>
          <w:sz w:val="40"/>
          <w:szCs w:val="48"/>
        </w:rPr>
        <w:t>期：二〇二六年</w:t>
      </w:r>
      <w:r>
        <w:rPr>
          <w:rFonts w:hint="eastAsia"/>
          <w:b/>
          <w:bCs/>
          <w:sz w:val="40"/>
          <w:szCs w:val="48"/>
          <w:lang w:val="en-US" w:eastAsia="zh-CN"/>
        </w:rPr>
        <w:t>八</w:t>
      </w:r>
      <w:r>
        <w:rPr>
          <w:rFonts w:hint="eastAsia"/>
          <w:b/>
          <w:bCs/>
          <w:sz w:val="40"/>
          <w:szCs w:val="48"/>
        </w:rPr>
        <w:t>月</w:t>
      </w:r>
    </w:p>
    <w:p w14:paraId="72175FE9">
      <w:pPr>
        <w:pStyle w:val="19"/>
        <w:ind w:firstLine="210"/>
      </w:pPr>
    </w:p>
    <w:p w14:paraId="4E86808E">
      <w:pPr>
        <w:pStyle w:val="19"/>
        <w:ind w:firstLine="210"/>
        <w:sectPr>
          <w:footerReference r:id="rId3" w:type="default"/>
          <w:pgSz w:w="11906" w:h="16838"/>
          <w:pgMar w:top="1134" w:right="1134" w:bottom="1418" w:left="1418" w:header="851" w:footer="992" w:gutter="0"/>
          <w:cols w:space="425" w:num="1"/>
          <w:titlePg/>
          <w:docGrid w:type="lines" w:linePitch="312" w:charSpace="0"/>
        </w:sectPr>
      </w:pPr>
    </w:p>
    <w:p w14:paraId="1466C0F2">
      <w:pPr>
        <w:spacing w:line="360" w:lineRule="auto"/>
        <w:jc w:val="center"/>
        <w:rPr>
          <w:rFonts w:hint="eastAsia" w:ascii="宋体" w:hAnsi="宋体" w:cs="宋体"/>
          <w:b/>
          <w:sz w:val="36"/>
          <w:szCs w:val="36"/>
        </w:rPr>
      </w:pPr>
      <w:r>
        <w:rPr>
          <w:rFonts w:hint="eastAsia" w:ascii="宋体" w:hAnsi="宋体" w:cs="宋体"/>
          <w:b/>
          <w:sz w:val="36"/>
          <w:szCs w:val="36"/>
        </w:rPr>
        <w:t>目 录</w:t>
      </w:r>
    </w:p>
    <w:p w14:paraId="161787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36"/>
        </w:rPr>
      </w:pPr>
    </w:p>
    <w:p w14:paraId="699AB6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TOC \o "1-1" \h \z \u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"_Toc119784535"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第一章  招标公告</w:t>
      </w:r>
      <w:r>
        <w:rPr>
          <w:rFonts w:hint="eastAsia" w:ascii="宋体" w:hAnsi="宋体" w:eastAsia="宋体" w:cs="宋体"/>
          <w:b/>
          <w:bCs/>
          <w:sz w:val="28"/>
          <w:szCs w:val="36"/>
        </w:rPr>
        <w:fldChar w:fldCharType="end"/>
      </w:r>
    </w:p>
    <w:p w14:paraId="11F3DB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"_Toc119784536"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第二章  投标人须知</w:t>
      </w:r>
      <w:r>
        <w:rPr>
          <w:rFonts w:hint="eastAsia" w:ascii="宋体" w:hAnsi="宋体" w:eastAsia="宋体" w:cs="宋体"/>
          <w:b/>
          <w:bCs/>
          <w:sz w:val="28"/>
          <w:szCs w:val="36"/>
        </w:rPr>
        <w:fldChar w:fldCharType="end"/>
      </w:r>
    </w:p>
    <w:p w14:paraId="0015D9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"_Toc119784537"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第三章  评标办法</w:t>
      </w:r>
      <w:r>
        <w:rPr>
          <w:rFonts w:hint="eastAsia" w:ascii="宋体" w:hAnsi="宋体" w:eastAsia="宋体" w:cs="宋体"/>
          <w:b/>
          <w:bCs/>
          <w:sz w:val="28"/>
          <w:szCs w:val="36"/>
        </w:rPr>
        <w:fldChar w:fldCharType="end"/>
      </w:r>
      <w:bookmarkStart w:id="286" w:name="_GoBack"/>
      <w:bookmarkEnd w:id="286"/>
    </w:p>
    <w:p w14:paraId="54B996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"_Toc119784538"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第四章  合同条款及格式</w:t>
      </w:r>
      <w:r>
        <w:rPr>
          <w:rFonts w:hint="eastAsia" w:ascii="宋体" w:hAnsi="宋体" w:eastAsia="宋体" w:cs="宋体"/>
          <w:b/>
          <w:bCs/>
          <w:sz w:val="28"/>
          <w:szCs w:val="36"/>
        </w:rPr>
        <w:fldChar w:fldCharType="end"/>
      </w:r>
    </w:p>
    <w:p w14:paraId="0AD369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"_Toc119784539"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第五章  采购项目清单和技术要求</w:t>
      </w:r>
      <w:r>
        <w:rPr>
          <w:rFonts w:hint="eastAsia" w:ascii="宋体" w:hAnsi="宋体" w:eastAsia="宋体" w:cs="宋体"/>
          <w:b/>
          <w:bCs/>
          <w:sz w:val="28"/>
          <w:szCs w:val="36"/>
        </w:rPr>
        <w:fldChar w:fldCharType="end"/>
      </w:r>
    </w:p>
    <w:p w14:paraId="34C2E6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36"/>
        </w:rPr>
      </w:pP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"_Toc119784540"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 xml:space="preserve">第六章  </w:t>
      </w:r>
      <w:r>
        <w:rPr>
          <w:rFonts w:hint="eastAsia" w:ascii="宋体" w:hAnsi="宋体" w:eastAsia="宋体" w:cs="宋体"/>
          <w:b/>
          <w:bCs/>
          <w:sz w:val="28"/>
          <w:szCs w:val="36"/>
        </w:rPr>
        <w:fldChar w:fldCharType="end"/>
      </w:r>
      <w:r>
        <w:rPr>
          <w:rFonts w:hint="eastAsia" w:ascii="宋体" w:hAnsi="宋体" w:eastAsia="宋体" w:cs="宋体"/>
          <w:b/>
          <w:bCs/>
          <w:sz w:val="28"/>
          <w:szCs w:val="36"/>
        </w:rPr>
        <w:fldChar w:fldCharType="begin"/>
      </w:r>
      <w:r>
        <w:rPr>
          <w:rFonts w:hint="eastAsia" w:ascii="宋体" w:hAnsi="宋体" w:eastAsia="宋体" w:cs="宋体"/>
          <w:b/>
          <w:bCs/>
          <w:sz w:val="28"/>
          <w:szCs w:val="36"/>
        </w:rPr>
        <w:instrText xml:space="preserve"> HYPERLINK \l "_Toc119784541" </w:instrText>
      </w:r>
      <w:r>
        <w:rPr>
          <w:rFonts w:hint="eastAsia" w:ascii="宋体" w:hAnsi="宋体" w:eastAsia="宋体" w:cs="宋体"/>
          <w:b/>
          <w:bCs/>
          <w:sz w:val="28"/>
          <w:szCs w:val="36"/>
        </w:rPr>
        <w:fldChar w:fldCharType="separate"/>
      </w:r>
      <w:r>
        <w:rPr>
          <w:rFonts w:hint="eastAsia" w:ascii="宋体" w:hAnsi="宋体" w:eastAsia="宋体" w:cs="宋体"/>
          <w:b/>
          <w:bCs/>
          <w:sz w:val="28"/>
          <w:szCs w:val="36"/>
        </w:rPr>
        <w:t>投标文件格式</w:t>
      </w:r>
      <w:r>
        <w:rPr>
          <w:rFonts w:hint="eastAsia" w:ascii="宋体" w:hAnsi="宋体" w:eastAsia="宋体" w:cs="宋体"/>
          <w:b/>
          <w:bCs/>
          <w:sz w:val="28"/>
          <w:szCs w:val="36"/>
        </w:rPr>
        <w:fldChar w:fldCharType="end"/>
      </w:r>
    </w:p>
    <w:p w14:paraId="16132B78">
      <w:pPr>
        <w:keepNext w:val="0"/>
        <w:keepLines w:val="0"/>
        <w:pageBreakBefore w:val="0"/>
        <w:widowControl w:val="0"/>
        <w:kinsoku/>
        <w:wordWrap/>
        <w:overflowPunct/>
        <w:topLinePunct w:val="0"/>
        <w:autoSpaceDE/>
        <w:autoSpaceDN/>
        <w:bidi w:val="0"/>
        <w:adjustRightInd/>
        <w:snapToGrid/>
        <w:spacing w:line="360" w:lineRule="auto"/>
        <w:textAlignment w:val="auto"/>
      </w:pPr>
      <w:r>
        <w:rPr>
          <w:rFonts w:hint="eastAsia" w:ascii="宋体" w:hAnsi="宋体" w:eastAsia="宋体" w:cs="宋体"/>
          <w:b/>
          <w:bCs/>
          <w:sz w:val="28"/>
          <w:szCs w:val="36"/>
        </w:rPr>
        <w:fldChar w:fldCharType="end"/>
      </w:r>
    </w:p>
    <w:p w14:paraId="7BF5ADDB">
      <w:pPr>
        <w:pStyle w:val="19"/>
        <w:ind w:firstLine="0" w:firstLineChars="0"/>
      </w:pPr>
    </w:p>
    <w:p w14:paraId="3EB574C2">
      <w:pPr>
        <w:pStyle w:val="19"/>
        <w:ind w:firstLine="0" w:firstLineChars="0"/>
        <w:sectPr>
          <w:pgSz w:w="11906" w:h="16838"/>
          <w:pgMar w:top="1134" w:right="1134" w:bottom="1418" w:left="1418" w:header="851" w:footer="992" w:gutter="0"/>
          <w:pgNumType w:start="1"/>
          <w:cols w:space="425" w:num="1"/>
          <w:docGrid w:type="lines" w:linePitch="312" w:charSpace="0"/>
        </w:sectPr>
      </w:pPr>
    </w:p>
    <w:p w14:paraId="133DADC0">
      <w:pPr>
        <w:jc w:val="center"/>
        <w:rPr>
          <w:rFonts w:hint="eastAsia" w:ascii="宋体" w:hAnsi="宋体" w:cs="宋体"/>
          <w:b/>
          <w:bCs/>
          <w:sz w:val="32"/>
          <w:szCs w:val="40"/>
        </w:rPr>
      </w:pPr>
      <w:bookmarkStart w:id="0" w:name="_Toc118733359"/>
      <w:bookmarkStart w:id="1" w:name="_Toc119784535"/>
      <w:r>
        <w:rPr>
          <w:rFonts w:hint="eastAsia" w:ascii="宋体" w:hAnsi="宋体" w:cs="宋体"/>
          <w:b/>
          <w:bCs/>
          <w:sz w:val="32"/>
          <w:szCs w:val="40"/>
        </w:rPr>
        <w:t>第一章  招标公告</w:t>
      </w:r>
      <w:bookmarkEnd w:id="0"/>
      <w:bookmarkEnd w:id="1"/>
      <w:bookmarkStart w:id="2" w:name="_Toc17722_WPSOffice_Level1"/>
    </w:p>
    <w:bookmarkEnd w:id="2"/>
    <w:p w14:paraId="79E6B8A2">
      <w:pPr>
        <w:jc w:val="center"/>
        <w:rPr>
          <w:rFonts w:hint="eastAsia" w:ascii="宋体" w:hAnsi="宋体" w:cs="宋体"/>
          <w:b/>
          <w:bCs/>
          <w:sz w:val="32"/>
          <w:szCs w:val="40"/>
        </w:rPr>
      </w:pPr>
      <w:r>
        <w:rPr>
          <w:rFonts w:hint="eastAsia" w:ascii="宋体" w:hAnsi="宋体" w:cs="宋体"/>
          <w:b/>
          <w:bCs/>
          <w:sz w:val="32"/>
          <w:szCs w:val="40"/>
        </w:rPr>
        <w:t>【平公资采</w:t>
      </w:r>
      <w:r>
        <w:rPr>
          <w:rFonts w:hint="eastAsia" w:ascii="宋体" w:hAnsi="宋体" w:cs="宋体"/>
          <w:b/>
          <w:bCs/>
          <w:sz w:val="32"/>
          <w:szCs w:val="40"/>
          <w:lang w:val="en-US" w:eastAsia="zh-CN"/>
        </w:rPr>
        <w:t>2026867</w:t>
      </w:r>
      <w:r>
        <w:rPr>
          <w:rFonts w:hint="eastAsia" w:ascii="宋体" w:hAnsi="宋体" w:cs="宋体"/>
          <w:b/>
          <w:bCs/>
          <w:sz w:val="32"/>
          <w:szCs w:val="40"/>
        </w:rPr>
        <w:t>号】鲁山县粮食和物资储备服务中心鲁山县</w:t>
      </w:r>
    </w:p>
    <w:p w14:paraId="23A9E33E">
      <w:pPr>
        <w:jc w:val="center"/>
        <w:rPr>
          <w:rFonts w:hint="eastAsia" w:ascii="宋体" w:hAnsi="宋体" w:cs="宋体"/>
          <w:b/>
          <w:bCs/>
          <w:sz w:val="32"/>
          <w:szCs w:val="40"/>
        </w:rPr>
      </w:pPr>
      <w:r>
        <w:rPr>
          <w:rFonts w:hint="eastAsia" w:ascii="宋体" w:hAnsi="宋体" w:cs="宋体"/>
          <w:b/>
          <w:bCs/>
          <w:sz w:val="32"/>
          <w:szCs w:val="40"/>
        </w:rPr>
        <w:t>粮食储备体系升级改造项目（智能化信息监管系统）项目</w:t>
      </w:r>
    </w:p>
    <w:p w14:paraId="3939E6FE">
      <w:pPr>
        <w:jc w:val="center"/>
        <w:rPr>
          <w:rFonts w:hint="eastAsia" w:ascii="宋体" w:hAnsi="宋体" w:cs="宋体"/>
          <w:b/>
          <w:bCs/>
          <w:sz w:val="32"/>
          <w:szCs w:val="40"/>
        </w:rPr>
      </w:pPr>
      <w:r>
        <w:rPr>
          <w:rFonts w:hint="eastAsia" w:ascii="宋体" w:hAnsi="宋体" w:cs="宋体"/>
          <w:b/>
          <w:bCs/>
          <w:sz w:val="32"/>
          <w:szCs w:val="40"/>
        </w:rPr>
        <w:t>公开招标公告</w:t>
      </w:r>
    </w:p>
    <w:p w14:paraId="2598D87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项目概况</w:t>
      </w:r>
    </w:p>
    <w:p w14:paraId="030AA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鲁山县粮食和物资储备服务中心鲁山县粮食储备体系升级改造项目（智能化信息监管系统）项目招标项目的潜在投标人应在平顶山市公共资源交易中心电子交易系统网（网址：</w:t>
      </w: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"http://ggzy.pds.gov.cn/）获取招标文件，并于2024年07月" </w:instrText>
      </w:r>
      <w:r>
        <w:rPr>
          <w:rFonts w:hint="eastAsia" w:ascii="宋体" w:hAnsi="宋体" w:eastAsia="宋体" w:cs="宋体"/>
          <w:sz w:val="24"/>
          <w:szCs w:val="32"/>
        </w:rPr>
        <w:fldChar w:fldCharType="separate"/>
      </w:r>
      <w:r>
        <w:rPr>
          <w:rFonts w:hint="eastAsia" w:ascii="宋体" w:hAnsi="宋体" w:eastAsia="宋体" w:cs="宋体"/>
          <w:sz w:val="24"/>
          <w:szCs w:val="32"/>
        </w:rPr>
        <w:t>http://ggzy.pds.gov.cn/）获取招标文件，并于2026年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rPr>
        <w:fldChar w:fldCharType="end"/>
      </w:r>
      <w:r>
        <w:rPr>
          <w:rFonts w:hint="eastAsia" w:ascii="宋体" w:hAnsi="宋体" w:eastAsia="宋体" w:cs="宋体"/>
          <w:sz w:val="24"/>
          <w:szCs w:val="32"/>
          <w:lang w:val="en-US" w:eastAsia="zh-CN"/>
        </w:rPr>
        <w:t>9</w:t>
      </w:r>
      <w:r>
        <w:rPr>
          <w:rFonts w:hint="eastAsia" w:ascii="宋体" w:hAnsi="宋体" w:eastAsia="宋体" w:cs="宋体"/>
          <w:sz w:val="24"/>
          <w:szCs w:val="32"/>
        </w:rPr>
        <w:t>日</w:t>
      </w:r>
      <w:r>
        <w:rPr>
          <w:rFonts w:hint="eastAsia" w:ascii="宋体" w:hAnsi="宋体" w:eastAsia="宋体" w:cs="宋体"/>
          <w:sz w:val="24"/>
          <w:szCs w:val="32"/>
          <w:lang w:val="en-US" w:eastAsia="zh-CN"/>
        </w:rPr>
        <w:t>9</w:t>
      </w:r>
      <w:r>
        <w:rPr>
          <w:rFonts w:hint="eastAsia" w:ascii="宋体" w:hAnsi="宋体" w:eastAsia="宋体" w:cs="宋体"/>
          <w:sz w:val="24"/>
          <w:szCs w:val="32"/>
        </w:rPr>
        <w:t>时00分（北京时间）前递交投标文件。</w:t>
      </w:r>
    </w:p>
    <w:p w14:paraId="3F73769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一、项目基本情况</w:t>
      </w:r>
    </w:p>
    <w:p w14:paraId="47FB21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1、采购编号：鲁采招标-2026-</w:t>
      </w:r>
      <w:r>
        <w:rPr>
          <w:rFonts w:hint="eastAsia" w:ascii="宋体" w:hAnsi="宋体" w:eastAsia="宋体" w:cs="宋体"/>
          <w:sz w:val="24"/>
          <w:szCs w:val="32"/>
          <w:lang w:val="en-US" w:eastAsia="zh-CN"/>
        </w:rPr>
        <w:t>54</w:t>
      </w:r>
    </w:p>
    <w:p w14:paraId="733BF3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2、项目名称：鲁山县粮食和物资储备服务中心鲁山县粮食储备体系升级改造项目（智能化信息监管系统）项目</w:t>
      </w:r>
    </w:p>
    <w:p w14:paraId="43E549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3、采购方式：公开招标</w:t>
      </w:r>
    </w:p>
    <w:p w14:paraId="5246B2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4、预算金额：1389388.00元</w:t>
      </w:r>
    </w:p>
    <w:p w14:paraId="675FF4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最高限价：1389388.00元</w:t>
      </w:r>
    </w:p>
    <w:tbl>
      <w:tblPr>
        <w:tblStyle w:val="21"/>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
        <w:gridCol w:w="1092"/>
        <w:gridCol w:w="3116"/>
        <w:gridCol w:w="1183"/>
        <w:gridCol w:w="1202"/>
        <w:gridCol w:w="1361"/>
        <w:gridCol w:w="1065"/>
      </w:tblGrid>
      <w:tr w14:paraId="026F1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14:paraId="71BA400A">
            <w:pPr>
              <w:jc w:val="center"/>
              <w:rPr>
                <w:rFonts w:hint="eastAsia" w:ascii="宋体" w:hAnsi="宋体" w:eastAsia="宋体" w:cs="宋体"/>
              </w:rPr>
            </w:pPr>
            <w:r>
              <w:rPr>
                <w:rFonts w:hint="eastAsia" w:ascii="宋体" w:hAnsi="宋体" w:eastAsia="宋体" w:cs="宋体"/>
              </w:rPr>
              <w:t>序号</w:t>
            </w:r>
          </w:p>
        </w:tc>
        <w:tc>
          <w:tcPr>
            <w:tcW w:w="1092" w:type="dxa"/>
            <w:tcBorders>
              <w:top w:val="single" w:color="000000" w:sz="4" w:space="0"/>
              <w:left w:val="single" w:color="000000" w:sz="4" w:space="0"/>
              <w:bottom w:val="single" w:color="000000" w:sz="4" w:space="0"/>
              <w:right w:val="single" w:color="000000" w:sz="4" w:space="0"/>
            </w:tcBorders>
            <w:vAlign w:val="center"/>
          </w:tcPr>
          <w:p w14:paraId="498E51EF">
            <w:pPr>
              <w:jc w:val="center"/>
              <w:rPr>
                <w:rFonts w:hint="eastAsia" w:ascii="宋体" w:hAnsi="宋体" w:eastAsia="宋体" w:cs="宋体"/>
              </w:rPr>
            </w:pPr>
            <w:r>
              <w:rPr>
                <w:rFonts w:hint="eastAsia" w:ascii="宋体" w:hAnsi="宋体" w:eastAsia="宋体" w:cs="宋体"/>
              </w:rPr>
              <w:t>包号</w:t>
            </w:r>
          </w:p>
        </w:tc>
        <w:tc>
          <w:tcPr>
            <w:tcW w:w="3116" w:type="dxa"/>
            <w:tcBorders>
              <w:top w:val="single" w:color="000000" w:sz="4" w:space="0"/>
              <w:left w:val="single" w:color="000000" w:sz="4" w:space="0"/>
              <w:bottom w:val="single" w:color="000000" w:sz="4" w:space="0"/>
              <w:right w:val="single" w:color="000000" w:sz="4" w:space="0"/>
            </w:tcBorders>
            <w:vAlign w:val="center"/>
          </w:tcPr>
          <w:p w14:paraId="45F15E51">
            <w:pPr>
              <w:jc w:val="center"/>
              <w:rPr>
                <w:rFonts w:hint="eastAsia" w:ascii="宋体" w:hAnsi="宋体" w:eastAsia="宋体" w:cs="宋体"/>
              </w:rPr>
            </w:pPr>
            <w:r>
              <w:rPr>
                <w:rFonts w:hint="eastAsia" w:ascii="宋体" w:hAnsi="宋体" w:eastAsia="宋体" w:cs="宋体"/>
              </w:rPr>
              <w:t>包名称</w:t>
            </w:r>
          </w:p>
        </w:tc>
        <w:tc>
          <w:tcPr>
            <w:tcW w:w="1183" w:type="dxa"/>
            <w:tcBorders>
              <w:top w:val="single" w:color="000000" w:sz="4" w:space="0"/>
              <w:left w:val="single" w:color="000000" w:sz="4" w:space="0"/>
              <w:bottom w:val="single" w:color="000000" w:sz="4" w:space="0"/>
              <w:right w:val="single" w:color="000000" w:sz="4" w:space="0"/>
            </w:tcBorders>
            <w:vAlign w:val="center"/>
          </w:tcPr>
          <w:p w14:paraId="271F26AE">
            <w:pPr>
              <w:jc w:val="center"/>
              <w:rPr>
                <w:rFonts w:hint="eastAsia" w:ascii="宋体" w:hAnsi="宋体" w:eastAsia="宋体" w:cs="宋体"/>
              </w:rPr>
            </w:pPr>
            <w:r>
              <w:rPr>
                <w:rFonts w:hint="eastAsia" w:ascii="宋体" w:hAnsi="宋体" w:eastAsia="宋体" w:cs="宋体"/>
              </w:rPr>
              <w:t>包预算</w:t>
            </w:r>
          </w:p>
          <w:p w14:paraId="1085BF5D">
            <w:pPr>
              <w:jc w:val="center"/>
              <w:rPr>
                <w:rFonts w:hint="eastAsia" w:ascii="宋体" w:hAnsi="宋体" w:eastAsia="宋体" w:cs="宋体"/>
              </w:rPr>
            </w:pPr>
            <w:r>
              <w:rPr>
                <w:rFonts w:hint="eastAsia" w:ascii="宋体" w:hAnsi="宋体" w:eastAsia="宋体" w:cs="宋体"/>
              </w:rPr>
              <w:t>（元）</w:t>
            </w:r>
          </w:p>
        </w:tc>
        <w:tc>
          <w:tcPr>
            <w:tcW w:w="1202" w:type="dxa"/>
            <w:tcBorders>
              <w:top w:val="single" w:color="000000" w:sz="4" w:space="0"/>
              <w:left w:val="single" w:color="000000" w:sz="4" w:space="0"/>
              <w:bottom w:val="single" w:color="000000" w:sz="4" w:space="0"/>
              <w:right w:val="single" w:color="auto" w:sz="4" w:space="0"/>
            </w:tcBorders>
            <w:vAlign w:val="center"/>
          </w:tcPr>
          <w:p w14:paraId="68C84526">
            <w:pPr>
              <w:jc w:val="center"/>
              <w:rPr>
                <w:rFonts w:hint="eastAsia" w:ascii="宋体" w:hAnsi="宋体" w:eastAsia="宋体" w:cs="宋体"/>
              </w:rPr>
            </w:pPr>
            <w:r>
              <w:rPr>
                <w:rFonts w:hint="eastAsia" w:ascii="宋体" w:hAnsi="宋体" w:eastAsia="宋体" w:cs="宋体"/>
              </w:rPr>
              <w:t>包最高</w:t>
            </w:r>
          </w:p>
          <w:p w14:paraId="0374FADF">
            <w:pPr>
              <w:jc w:val="center"/>
              <w:rPr>
                <w:rFonts w:hint="eastAsia" w:ascii="宋体" w:hAnsi="宋体" w:eastAsia="宋体" w:cs="宋体"/>
              </w:rPr>
            </w:pPr>
            <w:r>
              <w:rPr>
                <w:rFonts w:hint="eastAsia" w:ascii="宋体" w:hAnsi="宋体" w:eastAsia="宋体" w:cs="宋体"/>
              </w:rPr>
              <w:t>限价（元）</w:t>
            </w:r>
          </w:p>
        </w:tc>
        <w:tc>
          <w:tcPr>
            <w:tcW w:w="1361" w:type="dxa"/>
            <w:tcBorders>
              <w:top w:val="single" w:color="000000" w:sz="4" w:space="0"/>
              <w:left w:val="single" w:color="auto" w:sz="4" w:space="0"/>
              <w:bottom w:val="single" w:color="000000" w:sz="4" w:space="0"/>
              <w:right w:val="single" w:color="auto" w:sz="4" w:space="0"/>
            </w:tcBorders>
            <w:vAlign w:val="center"/>
          </w:tcPr>
          <w:p w14:paraId="1A2B8245">
            <w:pPr>
              <w:jc w:val="center"/>
              <w:rPr>
                <w:rFonts w:hint="eastAsia" w:ascii="宋体" w:hAnsi="宋体" w:eastAsia="宋体" w:cs="宋体"/>
              </w:rPr>
            </w:pPr>
            <w:r>
              <w:rPr>
                <w:rFonts w:hint="eastAsia" w:ascii="宋体" w:hAnsi="宋体" w:eastAsia="宋体" w:cs="宋体"/>
              </w:rPr>
              <w:t>是否专门面</w:t>
            </w:r>
          </w:p>
          <w:p w14:paraId="555055EE">
            <w:pPr>
              <w:jc w:val="center"/>
              <w:rPr>
                <w:rFonts w:hint="eastAsia" w:ascii="宋体" w:hAnsi="宋体" w:eastAsia="宋体" w:cs="宋体"/>
              </w:rPr>
            </w:pPr>
            <w:r>
              <w:rPr>
                <w:rFonts w:hint="eastAsia" w:ascii="宋体" w:hAnsi="宋体" w:eastAsia="宋体" w:cs="宋体"/>
              </w:rPr>
              <w:t>向中小企业</w:t>
            </w:r>
          </w:p>
        </w:tc>
        <w:tc>
          <w:tcPr>
            <w:tcW w:w="1065" w:type="dxa"/>
            <w:tcBorders>
              <w:top w:val="single" w:color="000000" w:sz="4" w:space="0"/>
              <w:left w:val="single" w:color="auto" w:sz="4" w:space="0"/>
              <w:bottom w:val="single" w:color="000000" w:sz="4" w:space="0"/>
              <w:right w:val="single" w:color="000000" w:sz="4" w:space="0"/>
            </w:tcBorders>
            <w:vAlign w:val="center"/>
          </w:tcPr>
          <w:p w14:paraId="215FFDD5">
            <w:pPr>
              <w:jc w:val="center"/>
              <w:rPr>
                <w:rFonts w:hint="eastAsia" w:ascii="宋体" w:hAnsi="宋体" w:eastAsia="宋体" w:cs="宋体"/>
              </w:rPr>
            </w:pPr>
            <w:r>
              <w:rPr>
                <w:rFonts w:hint="eastAsia" w:ascii="宋体" w:hAnsi="宋体" w:eastAsia="宋体" w:cs="宋体"/>
              </w:rPr>
              <w:t>采购预留</w:t>
            </w:r>
          </w:p>
          <w:p w14:paraId="76C34B0A">
            <w:pPr>
              <w:jc w:val="center"/>
              <w:rPr>
                <w:rFonts w:hint="eastAsia" w:ascii="宋体" w:hAnsi="宋体" w:eastAsia="宋体" w:cs="宋体"/>
              </w:rPr>
            </w:pPr>
            <w:r>
              <w:rPr>
                <w:rFonts w:hint="eastAsia" w:ascii="宋体" w:hAnsi="宋体" w:eastAsia="宋体" w:cs="宋体"/>
              </w:rPr>
              <w:t>金额（元）</w:t>
            </w:r>
          </w:p>
        </w:tc>
      </w:tr>
      <w:tr w14:paraId="5DCC7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3" w:hRule="atLeast"/>
          <w:jc w:val="center"/>
        </w:trPr>
        <w:tc>
          <w:tcPr>
            <w:tcW w:w="658" w:type="dxa"/>
            <w:tcBorders>
              <w:top w:val="single" w:color="000000" w:sz="4" w:space="0"/>
              <w:left w:val="single" w:color="000000" w:sz="4" w:space="0"/>
              <w:bottom w:val="single" w:color="000000" w:sz="4" w:space="0"/>
              <w:right w:val="single" w:color="000000" w:sz="4" w:space="0"/>
            </w:tcBorders>
            <w:vAlign w:val="center"/>
          </w:tcPr>
          <w:p w14:paraId="45169290">
            <w:pPr>
              <w:jc w:val="center"/>
              <w:rPr>
                <w:rFonts w:hint="eastAsia" w:ascii="宋体" w:hAnsi="宋体" w:eastAsia="宋体" w:cs="宋体"/>
              </w:rPr>
            </w:pPr>
            <w:r>
              <w:rPr>
                <w:rFonts w:hint="eastAsia" w:ascii="宋体" w:hAnsi="宋体" w:eastAsia="宋体" w:cs="宋体"/>
              </w:rPr>
              <w:t>1</w:t>
            </w:r>
          </w:p>
        </w:tc>
        <w:tc>
          <w:tcPr>
            <w:tcW w:w="1092" w:type="dxa"/>
            <w:tcBorders>
              <w:top w:val="single" w:color="000000" w:sz="4" w:space="0"/>
              <w:left w:val="single" w:color="000000" w:sz="4" w:space="0"/>
              <w:bottom w:val="single" w:color="000000" w:sz="4" w:space="0"/>
              <w:right w:val="single" w:color="000000" w:sz="4" w:space="0"/>
            </w:tcBorders>
            <w:vAlign w:val="center"/>
          </w:tcPr>
          <w:p w14:paraId="51AF6589">
            <w:pPr>
              <w:jc w:val="center"/>
              <w:rPr>
                <w:rFonts w:hint="eastAsia" w:ascii="宋体" w:hAnsi="宋体" w:eastAsia="宋体" w:cs="宋体"/>
              </w:rPr>
            </w:pPr>
            <w:r>
              <w:rPr>
                <w:rFonts w:hint="eastAsia" w:ascii="宋体" w:hAnsi="宋体" w:eastAsia="宋体" w:cs="宋体"/>
              </w:rPr>
              <w:t>平公资采2026867号-1</w:t>
            </w:r>
          </w:p>
        </w:tc>
        <w:tc>
          <w:tcPr>
            <w:tcW w:w="3116" w:type="dxa"/>
            <w:tcBorders>
              <w:top w:val="single" w:color="000000" w:sz="4" w:space="0"/>
              <w:left w:val="single" w:color="000000" w:sz="4" w:space="0"/>
              <w:bottom w:val="single" w:color="000000" w:sz="4" w:space="0"/>
              <w:right w:val="single" w:color="000000" w:sz="4" w:space="0"/>
            </w:tcBorders>
            <w:vAlign w:val="center"/>
          </w:tcPr>
          <w:p w14:paraId="2D91DA28">
            <w:pPr>
              <w:jc w:val="center"/>
              <w:rPr>
                <w:rFonts w:hint="eastAsia" w:ascii="宋体" w:hAnsi="宋体" w:eastAsia="宋体" w:cs="宋体"/>
              </w:rPr>
            </w:pPr>
            <w:r>
              <w:rPr>
                <w:rFonts w:hint="eastAsia" w:ascii="宋体" w:hAnsi="宋体" w:eastAsia="宋体" w:cs="宋体"/>
              </w:rPr>
              <w:t>鲁山县粮食和物资储备服务中心</w:t>
            </w:r>
          </w:p>
          <w:p w14:paraId="5299369B">
            <w:pPr>
              <w:jc w:val="center"/>
              <w:rPr>
                <w:rFonts w:hint="eastAsia" w:ascii="宋体" w:hAnsi="宋体" w:eastAsia="宋体" w:cs="宋体"/>
              </w:rPr>
            </w:pPr>
            <w:r>
              <w:rPr>
                <w:rFonts w:hint="eastAsia" w:ascii="宋体" w:hAnsi="宋体" w:eastAsia="宋体" w:cs="宋体"/>
              </w:rPr>
              <w:t>鲁山县粮食储备体系升级改造项目（智能化信息监管系统）项目</w:t>
            </w:r>
          </w:p>
        </w:tc>
        <w:tc>
          <w:tcPr>
            <w:tcW w:w="1183" w:type="dxa"/>
            <w:tcBorders>
              <w:top w:val="single" w:color="000000" w:sz="4" w:space="0"/>
              <w:left w:val="single" w:color="000000" w:sz="4" w:space="0"/>
              <w:bottom w:val="single" w:color="000000" w:sz="4" w:space="0"/>
              <w:right w:val="single" w:color="000000" w:sz="4" w:space="0"/>
            </w:tcBorders>
            <w:vAlign w:val="center"/>
          </w:tcPr>
          <w:p w14:paraId="571C9394">
            <w:pPr>
              <w:jc w:val="center"/>
              <w:rPr>
                <w:rFonts w:hint="eastAsia" w:ascii="宋体" w:hAnsi="宋体" w:eastAsia="宋体" w:cs="宋体"/>
              </w:rPr>
            </w:pPr>
            <w:r>
              <w:rPr>
                <w:rFonts w:hint="eastAsia" w:ascii="宋体" w:hAnsi="宋体" w:eastAsia="宋体" w:cs="宋体"/>
              </w:rPr>
              <w:t>1389388.00</w:t>
            </w:r>
          </w:p>
        </w:tc>
        <w:tc>
          <w:tcPr>
            <w:tcW w:w="1202" w:type="dxa"/>
            <w:tcBorders>
              <w:top w:val="single" w:color="000000" w:sz="4" w:space="0"/>
              <w:left w:val="single" w:color="000000" w:sz="4" w:space="0"/>
              <w:bottom w:val="single" w:color="000000" w:sz="4" w:space="0"/>
              <w:right w:val="single" w:color="auto" w:sz="4" w:space="0"/>
            </w:tcBorders>
            <w:vAlign w:val="center"/>
          </w:tcPr>
          <w:p w14:paraId="18731EA7">
            <w:pPr>
              <w:jc w:val="center"/>
              <w:rPr>
                <w:rFonts w:hint="eastAsia" w:ascii="宋体" w:hAnsi="宋体" w:eastAsia="宋体" w:cs="宋体"/>
              </w:rPr>
            </w:pPr>
            <w:r>
              <w:rPr>
                <w:rFonts w:hint="eastAsia" w:ascii="宋体" w:hAnsi="宋体" w:eastAsia="宋体" w:cs="宋体"/>
              </w:rPr>
              <w:t>1389388.00</w:t>
            </w:r>
          </w:p>
        </w:tc>
        <w:tc>
          <w:tcPr>
            <w:tcW w:w="1361" w:type="dxa"/>
            <w:tcBorders>
              <w:top w:val="single" w:color="000000" w:sz="4" w:space="0"/>
              <w:left w:val="single" w:color="auto" w:sz="4" w:space="0"/>
              <w:bottom w:val="single" w:color="000000" w:sz="4" w:space="0"/>
              <w:right w:val="single" w:color="auto" w:sz="4" w:space="0"/>
            </w:tcBorders>
            <w:vAlign w:val="center"/>
          </w:tcPr>
          <w:p w14:paraId="792CB39D">
            <w:pPr>
              <w:jc w:val="center"/>
              <w:rPr>
                <w:rFonts w:hint="eastAsia" w:ascii="宋体" w:hAnsi="宋体" w:eastAsia="宋体" w:cs="宋体"/>
              </w:rPr>
            </w:pPr>
            <w:r>
              <w:rPr>
                <w:rFonts w:hint="eastAsia" w:ascii="宋体" w:hAnsi="宋体" w:eastAsia="宋体" w:cs="宋体"/>
              </w:rPr>
              <w:t>否</w:t>
            </w:r>
          </w:p>
        </w:tc>
        <w:tc>
          <w:tcPr>
            <w:tcW w:w="1065" w:type="dxa"/>
            <w:tcBorders>
              <w:top w:val="single" w:color="000000" w:sz="4" w:space="0"/>
              <w:left w:val="single" w:color="auto" w:sz="4" w:space="0"/>
              <w:bottom w:val="single" w:color="000000" w:sz="4" w:space="0"/>
              <w:right w:val="single" w:color="000000" w:sz="4" w:space="0"/>
            </w:tcBorders>
            <w:vAlign w:val="center"/>
          </w:tcPr>
          <w:p w14:paraId="19424449">
            <w:pPr>
              <w:jc w:val="center"/>
              <w:rPr>
                <w:rFonts w:hint="eastAsia" w:ascii="宋体" w:hAnsi="宋体" w:eastAsia="宋体" w:cs="宋体"/>
              </w:rPr>
            </w:pPr>
            <w:r>
              <w:rPr>
                <w:rFonts w:hint="eastAsia" w:ascii="宋体" w:hAnsi="宋体" w:eastAsia="宋体" w:cs="宋体"/>
              </w:rPr>
              <w:t>1389388.00</w:t>
            </w:r>
          </w:p>
        </w:tc>
      </w:tr>
    </w:tbl>
    <w:p w14:paraId="35EEBC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5、项目需求：（包括但不限于标的的名称、数量、简要技术需求或服务要求等）</w:t>
      </w:r>
    </w:p>
    <w:p w14:paraId="63CF19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5.1项目内容：粮库出入库系统、智能安防监控系统综合监管平台、库内防熏蒸监控装置、粮情检测系统等安装及后期服务。详见招标文件。</w:t>
      </w:r>
    </w:p>
    <w:p w14:paraId="35EADC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5.2资金来源：财政资金，已落实</w:t>
      </w:r>
    </w:p>
    <w:p w14:paraId="6A71FC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5.3标段划分：本项目共划分1个标段</w:t>
      </w:r>
    </w:p>
    <w:p w14:paraId="7C5A46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5.4建设周期：合同签订后，6个月内安装完毕</w:t>
      </w:r>
    </w:p>
    <w:p w14:paraId="1DE0E3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5.5服务地点：采购人指定地点</w:t>
      </w:r>
    </w:p>
    <w:p w14:paraId="575551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5.6运维服务期限：三年（自交付使用之日起）。</w:t>
      </w:r>
    </w:p>
    <w:p w14:paraId="183B5E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5.7服务要求：符合国家现行相关规范、规程、规定、标准要求</w:t>
      </w:r>
    </w:p>
    <w:p w14:paraId="405BC5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6、合同履行期限：建设周期+运维服务期限</w:t>
      </w:r>
    </w:p>
    <w:p w14:paraId="386846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7、本项目是否接受联合体投标：否</w:t>
      </w:r>
    </w:p>
    <w:p w14:paraId="79CDBF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8、是否接受进口产品：否</w:t>
      </w:r>
    </w:p>
    <w:p w14:paraId="203C7D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eastAsia="zh-CN"/>
        </w:rPr>
      </w:pPr>
      <w:r>
        <w:rPr>
          <w:rFonts w:hint="eastAsia" w:ascii="宋体" w:hAnsi="宋体" w:eastAsia="宋体" w:cs="宋体"/>
          <w:sz w:val="24"/>
          <w:szCs w:val="32"/>
        </w:rPr>
        <w:t>9、是否专门面向中小企业：</w:t>
      </w:r>
      <w:r>
        <w:rPr>
          <w:rFonts w:hint="eastAsia" w:ascii="宋体" w:hAnsi="宋体" w:eastAsia="宋体" w:cs="宋体"/>
          <w:sz w:val="24"/>
          <w:szCs w:val="32"/>
          <w:lang w:val="en-US" w:eastAsia="zh-CN"/>
        </w:rPr>
        <w:t>否</w:t>
      </w:r>
    </w:p>
    <w:p w14:paraId="4FA6AAF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二、申请人资格要求：</w:t>
      </w:r>
    </w:p>
    <w:p w14:paraId="3CE7D1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bookmarkStart w:id="3" w:name="_Toc17722_WPSOffice_Level2"/>
      <w:r>
        <w:rPr>
          <w:rFonts w:hint="eastAsia" w:ascii="宋体" w:hAnsi="宋体" w:eastAsia="宋体" w:cs="宋体"/>
          <w:sz w:val="24"/>
          <w:szCs w:val="32"/>
        </w:rPr>
        <w:t>1、满足《中华人民共和国政府采购法》第二十二条规定；</w:t>
      </w:r>
    </w:p>
    <w:p w14:paraId="15670F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2、落实政府采购政策满足的资格要求：</w:t>
      </w:r>
    </w:p>
    <w:p w14:paraId="59E7D3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本项目非专门面向中小企业采购。供应商为中小微企业、监狱企业、残疾人福利性单位，落实中小企业价格评审优惠政策；中小企业划型标准请依据工信部联企业【2011】300号文件之规定。</w:t>
      </w:r>
    </w:p>
    <w:p w14:paraId="2BCB8C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3、本项目的特定资格要求</w:t>
      </w:r>
    </w:p>
    <w:p w14:paraId="45F3E4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3.1、符合《中华人民共和国政府采购法》第二十二条的规定</w:t>
      </w:r>
    </w:p>
    <w:p w14:paraId="438EDD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1)具有独立承担民事责任的能力（含当地分公司或分支机构，附法人或其他组织的营业执照）等证明文件），（也可上传电子营业执照）。</w:t>
      </w:r>
    </w:p>
    <w:p w14:paraId="23D52A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2)具有良好的商业信誉和健全的财务会计制度（提供承诺书,格式自拟)。</w:t>
      </w:r>
    </w:p>
    <w:p w14:paraId="78D437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3)具有履行合同所必需的设备和专业技术能力（提供承诺书,格式自拟)。</w:t>
      </w:r>
    </w:p>
    <w:p w14:paraId="0763E2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4)有依法缴纳税收和社会保障资金的良好记录（提供承诺书,格式自拟)。</w:t>
      </w:r>
    </w:p>
    <w:p w14:paraId="7EBA56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5)参加政府采购活动前三年内，在经营活动中没有重大违法记录的声明（提供承诺书,格式自拟)。</w:t>
      </w:r>
    </w:p>
    <w:p w14:paraId="17290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3.2信誉要求：投标人须提供公告发布之后的中国执行信息公开网“失信被执行人”、信用中国网“重大税收违法失信主体”、中国政府采购网“政府采购严重违法失信行为名单”查询页面加盖单位公章；若有不良记录报名无效，执行财库[2016]125号文。</w:t>
      </w:r>
    </w:p>
    <w:p w14:paraId="70A242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3.3单位负责人为同一人或存在直接控股、管理关系的不同供应商，不得同时参加本次采购活动。</w:t>
      </w:r>
    </w:p>
    <w:p w14:paraId="153F0C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lang w:val="en-US" w:eastAsia="zh-CN"/>
        </w:rPr>
        <w:t>3.4</w:t>
      </w:r>
      <w:r>
        <w:rPr>
          <w:rFonts w:hint="eastAsia" w:ascii="宋体" w:hAnsi="宋体" w:eastAsia="宋体" w:cs="宋体"/>
          <w:sz w:val="24"/>
          <w:szCs w:val="32"/>
        </w:rPr>
        <w:t>供应商应保证投标文件真实有效，不可虚假承诺，采购人有权在签订合同前要求成交供应商提供相关证明材料以核实承诺事项的真实性，一经查实弄虚作假，取消其成交资格，并承担因此所引起的一切法律后果（需提供承诺书）。</w:t>
      </w:r>
    </w:p>
    <w:p w14:paraId="01804A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3.5本次采购采用资格后审，不接受联合体投标。</w:t>
      </w:r>
    </w:p>
    <w:p w14:paraId="26C3545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三、获取采购文件</w:t>
      </w:r>
    </w:p>
    <w:p w14:paraId="7CBF3E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1.时间：2026年</w:t>
      </w:r>
      <w:r>
        <w:rPr>
          <w:rFonts w:hint="eastAsia" w:ascii="宋体" w:hAnsi="宋体" w:eastAsia="宋体" w:cs="宋体"/>
          <w:sz w:val="24"/>
          <w:szCs w:val="32"/>
          <w:lang w:val="en-US" w:eastAsia="zh-CN"/>
        </w:rPr>
        <w:t>8</w:t>
      </w:r>
      <w:r>
        <w:rPr>
          <w:rFonts w:hint="eastAsia" w:ascii="宋体" w:hAnsi="宋体" w:eastAsia="宋体" w:cs="宋体"/>
          <w:sz w:val="24"/>
          <w:szCs w:val="32"/>
        </w:rPr>
        <w:t>月</w:t>
      </w:r>
      <w:r>
        <w:rPr>
          <w:rFonts w:hint="eastAsia" w:ascii="宋体" w:hAnsi="宋体" w:eastAsia="宋体" w:cs="宋体"/>
          <w:sz w:val="24"/>
          <w:szCs w:val="32"/>
          <w:lang w:val="en-US" w:eastAsia="zh-CN"/>
        </w:rPr>
        <w:t>19</w:t>
      </w:r>
      <w:r>
        <w:rPr>
          <w:rFonts w:hint="eastAsia" w:ascii="宋体" w:hAnsi="宋体" w:eastAsia="宋体" w:cs="宋体"/>
          <w:sz w:val="24"/>
          <w:szCs w:val="32"/>
        </w:rPr>
        <w:t>日至2026年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lang w:val="en-US" w:eastAsia="zh-CN"/>
        </w:rPr>
        <w:t>8</w:t>
      </w:r>
      <w:r>
        <w:rPr>
          <w:rFonts w:hint="eastAsia" w:ascii="宋体" w:hAnsi="宋体" w:eastAsia="宋体" w:cs="宋体"/>
          <w:sz w:val="24"/>
          <w:szCs w:val="32"/>
        </w:rPr>
        <w:t>日，每天上午00:00至12:00，下午12:00至23:59（北京时间，法定节假日除外。）</w:t>
      </w:r>
    </w:p>
    <w:p w14:paraId="5B4C63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2.地点：平顶山市公共资源交易中心电子交易系统；</w:t>
      </w:r>
    </w:p>
    <w:p w14:paraId="552F82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方式：本项目只接受网上报名，不接受其它形式报名。潜在供应商报名需凭CA数字证书通过平顶山市公共资源交易中心网（网址：http://ggzy.pds.gov.cn）“供应商登录”入口进入交易系统进行报名。具体操作请查看以下链接：</w:t>
      </w:r>
    </w:p>
    <w:p w14:paraId="3E774A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链接地址：http://ggzy.pds.gov.cn/fwzn/11020.jhtml</w:t>
      </w:r>
    </w:p>
    <w:p w14:paraId="3FFE14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办理CA证书：http://ggzy.pds.gov.cn/tzgg/10814.jhtml</w:t>
      </w:r>
    </w:p>
    <w:p w14:paraId="53BB1D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4.售价：0元</w:t>
      </w:r>
    </w:p>
    <w:p w14:paraId="4647089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四、响应文件提交</w:t>
      </w:r>
    </w:p>
    <w:p w14:paraId="4F11CB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1.截止时间：2026年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lang w:val="en-US" w:eastAsia="zh-CN"/>
        </w:rPr>
        <w:t>9</w:t>
      </w:r>
      <w:r>
        <w:rPr>
          <w:rFonts w:hint="eastAsia" w:ascii="宋体" w:hAnsi="宋体" w:eastAsia="宋体" w:cs="宋体"/>
          <w:sz w:val="24"/>
          <w:szCs w:val="32"/>
        </w:rPr>
        <w:t>日</w:t>
      </w:r>
      <w:r>
        <w:rPr>
          <w:rFonts w:hint="eastAsia" w:ascii="宋体" w:hAnsi="宋体" w:eastAsia="宋体" w:cs="宋体"/>
          <w:sz w:val="24"/>
          <w:szCs w:val="32"/>
          <w:lang w:val="en-US" w:eastAsia="zh-CN"/>
        </w:rPr>
        <w:t>9</w:t>
      </w:r>
      <w:r>
        <w:rPr>
          <w:rFonts w:hint="eastAsia" w:ascii="宋体" w:hAnsi="宋体" w:eastAsia="宋体" w:cs="宋体"/>
          <w:sz w:val="24"/>
          <w:szCs w:val="32"/>
        </w:rPr>
        <w:t>时00分（北京时间）</w:t>
      </w:r>
    </w:p>
    <w:p w14:paraId="0F013A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2.地点：平顶山市公共资源交易中心网上开标大厅，未按要求上传加密电子响应文件的，采购人不予受理。</w:t>
      </w:r>
    </w:p>
    <w:p w14:paraId="6F1BA7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五、响应文件开启</w:t>
      </w:r>
    </w:p>
    <w:p w14:paraId="1D58B2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1.时间：2026年</w:t>
      </w:r>
      <w:r>
        <w:rPr>
          <w:rFonts w:hint="eastAsia" w:ascii="宋体" w:hAnsi="宋体" w:eastAsia="宋体" w:cs="宋体"/>
          <w:sz w:val="24"/>
          <w:szCs w:val="32"/>
          <w:lang w:val="en-US" w:eastAsia="zh-CN"/>
        </w:rPr>
        <w:t>9</w:t>
      </w:r>
      <w:r>
        <w:rPr>
          <w:rFonts w:hint="eastAsia" w:ascii="宋体" w:hAnsi="宋体" w:eastAsia="宋体" w:cs="宋体"/>
          <w:sz w:val="24"/>
          <w:szCs w:val="32"/>
        </w:rPr>
        <w:t>月</w:t>
      </w:r>
      <w:r>
        <w:rPr>
          <w:rFonts w:hint="eastAsia" w:ascii="宋体" w:hAnsi="宋体" w:eastAsia="宋体" w:cs="宋体"/>
          <w:sz w:val="24"/>
          <w:szCs w:val="32"/>
          <w:lang w:val="en-US" w:eastAsia="zh-CN"/>
        </w:rPr>
        <w:t>9</w:t>
      </w:r>
      <w:r>
        <w:rPr>
          <w:rFonts w:hint="eastAsia" w:ascii="宋体" w:hAnsi="宋体" w:eastAsia="宋体" w:cs="宋体"/>
          <w:sz w:val="24"/>
          <w:szCs w:val="32"/>
        </w:rPr>
        <w:t>日</w:t>
      </w:r>
      <w:r>
        <w:rPr>
          <w:rFonts w:hint="eastAsia" w:ascii="宋体" w:hAnsi="宋体" w:eastAsia="宋体" w:cs="宋体"/>
          <w:sz w:val="24"/>
          <w:szCs w:val="32"/>
          <w:lang w:val="en-US" w:eastAsia="zh-CN"/>
        </w:rPr>
        <w:t>9</w:t>
      </w:r>
      <w:r>
        <w:rPr>
          <w:rFonts w:hint="eastAsia" w:ascii="宋体" w:hAnsi="宋体" w:eastAsia="宋体" w:cs="宋体"/>
          <w:sz w:val="24"/>
          <w:szCs w:val="32"/>
        </w:rPr>
        <w:t>时00分（北京时间）</w:t>
      </w:r>
    </w:p>
    <w:p w14:paraId="2269CC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2.地点：平顶山市公共资源交易中心网上开标大厅。</w:t>
      </w:r>
    </w:p>
    <w:p w14:paraId="005D400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六、发布公告的媒介及招标公告期限</w:t>
      </w:r>
    </w:p>
    <w:p w14:paraId="535C07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本次招标公告在《河南省政府采购网》、《平顶山市政府采购网》、《鲁山县政府采购网》、《全国公共资源交易平台（河南省·平顶山市）》上发布，招标公告期限为五个工作日。</w:t>
      </w:r>
    </w:p>
    <w:p w14:paraId="20D7809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七、其他补充事宜</w:t>
      </w:r>
    </w:p>
    <w:p w14:paraId="66CEA5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全面实行在线“不见面”开标，投标人远程在线解密投标文件，不再到开标现场，投标人开标前应仔细阅读《“不见面”开标注意事项及操作流程》、《关于“不见面开标系统”升级的通知》及交易中心相关通知。</w:t>
      </w:r>
    </w:p>
    <w:p w14:paraId="2BC747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2、各投标人如有异议可通过平顶山市公共资源交易平台向采购人（代理机构）、行政监督部门在线提出质疑（异议）、投诉。</w:t>
      </w:r>
    </w:p>
    <w:p w14:paraId="0AC9B7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3、该公告已同步至“平顶山市公共资源交易中心微信公众号”，可通过公众号中的服务栏目进行查阅。</w:t>
      </w:r>
    </w:p>
    <w:p w14:paraId="53A384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4、本项目监督单位</w:t>
      </w:r>
    </w:p>
    <w:p w14:paraId="24CDF4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监督单位：鲁山县财政局</w:t>
      </w:r>
    </w:p>
    <w:p w14:paraId="4ECD61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社会信用代码：11410423005487188A</w:t>
      </w:r>
    </w:p>
    <w:p w14:paraId="21BA64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监管部门联系方式：0375-5057526</w:t>
      </w:r>
    </w:p>
    <w:p w14:paraId="0F0114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32"/>
        </w:rPr>
      </w:pPr>
      <w:r>
        <w:rPr>
          <w:rFonts w:hint="eastAsia" w:ascii="宋体" w:hAnsi="宋体" w:eastAsia="宋体" w:cs="宋体"/>
          <w:b/>
          <w:bCs/>
          <w:sz w:val="24"/>
          <w:szCs w:val="32"/>
        </w:rPr>
        <w:t>八、凡对本次招标提出询问，请按照以下方式联系</w:t>
      </w:r>
    </w:p>
    <w:p w14:paraId="056122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1.采购人信息</w:t>
      </w:r>
    </w:p>
    <w:p w14:paraId="33D297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名称：鲁山县粮食和物资储备服务中心</w:t>
      </w:r>
    </w:p>
    <w:p w14:paraId="051A93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地址：鲁山县向阳路中段紫金城大厦三街口</w:t>
      </w:r>
    </w:p>
    <w:p w14:paraId="3587A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联系人：</w:t>
      </w:r>
      <w:r>
        <w:rPr>
          <w:rFonts w:hint="eastAsia" w:ascii="宋体" w:hAnsi="宋体" w:eastAsia="宋体" w:cs="宋体"/>
          <w:sz w:val="24"/>
          <w:szCs w:val="32"/>
          <w:lang w:val="en-US" w:eastAsia="zh-CN"/>
        </w:rPr>
        <w:t>李女士</w:t>
      </w:r>
    </w:p>
    <w:p w14:paraId="273B6A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联系方式：</w:t>
      </w:r>
      <w:r>
        <w:rPr>
          <w:rFonts w:hint="eastAsia" w:ascii="宋体" w:hAnsi="宋体" w:eastAsia="宋体" w:cs="宋体"/>
          <w:sz w:val="24"/>
          <w:szCs w:val="32"/>
          <w:lang w:val="en-US" w:eastAsia="zh-CN"/>
        </w:rPr>
        <w:t>13569554168</w:t>
      </w:r>
    </w:p>
    <w:p w14:paraId="1AC05A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2.采购代理机构信息</w:t>
      </w:r>
    </w:p>
    <w:p w14:paraId="534DA1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名称：大豫工程咨询有限公司</w:t>
      </w:r>
    </w:p>
    <w:p w14:paraId="1730AD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地址：河南自贸试验区郑州片区(经开)第十四大街以东、经南九路以南正商滨河铭筑5幢6层625号</w:t>
      </w:r>
    </w:p>
    <w:p w14:paraId="574430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联系人：朱先生</w:t>
      </w:r>
    </w:p>
    <w:p w14:paraId="383FB9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联系方式：13723234433</w:t>
      </w:r>
    </w:p>
    <w:p w14:paraId="2C9FA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3.项目联系方式</w:t>
      </w:r>
    </w:p>
    <w:p w14:paraId="5251E1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项目联系人：朱先生</w:t>
      </w:r>
    </w:p>
    <w:p w14:paraId="2066CB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联系方式：13723234433</w:t>
      </w:r>
    </w:p>
    <w:p w14:paraId="65796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2026年8月18日</w:t>
      </w:r>
    </w:p>
    <w:p w14:paraId="68E72732">
      <w:pPr>
        <w:rPr>
          <w:rFonts w:hint="eastAsia" w:ascii="宋体" w:hAnsi="宋体"/>
          <w:b/>
          <w:bCs/>
          <w:sz w:val="24"/>
        </w:rPr>
      </w:pPr>
      <w:r>
        <w:rPr>
          <w:rFonts w:hint="eastAsia" w:ascii="宋体" w:hAnsi="宋体"/>
          <w:b/>
          <w:bCs/>
          <w:sz w:val="24"/>
        </w:rPr>
        <w:br w:type="page"/>
      </w:r>
    </w:p>
    <w:p w14:paraId="6CE5F2D5">
      <w:pPr>
        <w:spacing w:line="360" w:lineRule="auto"/>
        <w:ind w:firstLine="723" w:firstLineChars="200"/>
        <w:jc w:val="center"/>
        <w:rPr>
          <w:rFonts w:hint="eastAsia" w:ascii="宋体" w:hAnsi="宋体"/>
          <w:sz w:val="36"/>
          <w:szCs w:val="36"/>
        </w:rPr>
      </w:pPr>
      <w:r>
        <w:rPr>
          <w:rFonts w:hint="eastAsia" w:ascii="宋体" w:hAnsi="宋体"/>
          <w:b/>
          <w:bCs/>
          <w:sz w:val="36"/>
          <w:szCs w:val="36"/>
        </w:rPr>
        <w:t>温馨提示</w:t>
      </w:r>
    </w:p>
    <w:p w14:paraId="7EA5D286">
      <w:pPr>
        <w:spacing w:line="360" w:lineRule="auto"/>
        <w:ind w:firstLine="420" w:firstLineChars="200"/>
        <w:rPr>
          <w:rFonts w:hint="eastAsia" w:ascii="宋体" w:hAnsi="宋体" w:cs="宋体"/>
        </w:rPr>
      </w:pPr>
      <w:r>
        <w:rPr>
          <w:rFonts w:hint="eastAsia" w:ascii="宋体" w:hAnsi="宋体" w:cs="宋体"/>
        </w:rPr>
        <w:t>一、本项目为全流程电子化交易项目，请认真阅读采购文件，并注意以下事项：</w:t>
      </w:r>
    </w:p>
    <w:p w14:paraId="02853E8F">
      <w:pPr>
        <w:spacing w:line="360" w:lineRule="auto"/>
        <w:ind w:firstLine="420" w:firstLineChars="200"/>
        <w:rPr>
          <w:rFonts w:hint="eastAsia" w:ascii="宋体" w:hAnsi="宋体" w:cs="宋体"/>
        </w:rPr>
      </w:pPr>
      <w:r>
        <w:rPr>
          <w:rFonts w:hint="eastAsia" w:ascii="宋体" w:hAnsi="宋体" w:cs="宋体"/>
        </w:rPr>
        <w:t>1、投标人应按采购文件规定编制、提交电子投标文件。</w:t>
      </w:r>
    </w:p>
    <w:p w14:paraId="1A13770B">
      <w:pPr>
        <w:spacing w:line="360" w:lineRule="auto"/>
        <w:ind w:firstLine="420" w:firstLineChars="200"/>
        <w:rPr>
          <w:rFonts w:hint="eastAsia" w:ascii="宋体" w:hAnsi="宋体" w:cs="宋体"/>
        </w:rPr>
      </w:pPr>
      <w:r>
        <w:rPr>
          <w:rFonts w:hint="eastAsia" w:ascii="宋体" w:hAnsi="宋体" w:cs="宋体"/>
        </w:rPr>
        <w:t>2、本项目投标人不用再提供纸质投标文件。</w:t>
      </w:r>
    </w:p>
    <w:p w14:paraId="7A690E42">
      <w:pPr>
        <w:spacing w:line="360" w:lineRule="auto"/>
        <w:ind w:firstLine="420" w:firstLineChars="200"/>
        <w:rPr>
          <w:rFonts w:hint="eastAsia" w:ascii="宋体" w:hAnsi="宋体" w:cs="宋体"/>
        </w:rPr>
      </w:pPr>
      <w:r>
        <w:rPr>
          <w:rFonts w:hint="eastAsia" w:ascii="宋体" w:hAnsi="宋体" w:cs="宋体"/>
        </w:rPr>
        <w:t>3、电子文件下载、制作、提交期间和开标（电子投标文件的解密）环节，投标人须使用CA数字证书（证书须在有效期内）。</w:t>
      </w:r>
    </w:p>
    <w:p w14:paraId="35B453E3">
      <w:pPr>
        <w:spacing w:line="360" w:lineRule="auto"/>
        <w:ind w:firstLine="420" w:firstLineChars="200"/>
        <w:rPr>
          <w:rFonts w:hint="eastAsia" w:ascii="宋体" w:hAnsi="宋体" w:cs="宋体"/>
        </w:rPr>
      </w:pPr>
      <w:r>
        <w:rPr>
          <w:rFonts w:hint="eastAsia" w:ascii="宋体" w:hAnsi="宋体" w:cs="宋体"/>
        </w:rPr>
        <w:t>4、电子投标文件的制作</w:t>
      </w:r>
    </w:p>
    <w:p w14:paraId="6D3CCCF0">
      <w:pPr>
        <w:spacing w:line="360" w:lineRule="auto"/>
        <w:ind w:firstLine="420" w:firstLineChars="200"/>
        <w:rPr>
          <w:rFonts w:hint="eastAsia" w:ascii="宋体" w:hAnsi="宋体" w:cs="宋体"/>
        </w:rPr>
      </w:pPr>
      <w:r>
        <w:rPr>
          <w:rFonts w:hint="eastAsia" w:ascii="宋体" w:hAnsi="宋体" w:cs="宋体"/>
        </w:rPr>
        <w:t>4.1投标人登录《全国公共资源交易平台(河南省▪平顶山市)》公共资源交易系统（http://221.176.192.166:8080/ggzy/）下载“平顶山投标文件制作系统”，按采购文件要求制作电子投标文件。</w:t>
      </w:r>
    </w:p>
    <w:p w14:paraId="49180241">
      <w:pPr>
        <w:spacing w:line="360" w:lineRule="auto"/>
        <w:ind w:firstLine="420" w:firstLineChars="200"/>
        <w:rPr>
          <w:rFonts w:hint="eastAsia" w:ascii="宋体" w:hAnsi="宋体" w:cs="宋体"/>
        </w:rPr>
      </w:pPr>
      <w:r>
        <w:rPr>
          <w:rFonts w:hint="eastAsia" w:ascii="宋体" w:hAnsi="宋体" w:cs="宋体"/>
        </w:rPr>
        <w:t>电子投标文件的制作，参考《全国公共资源交易平台(河南省▪平顶山市)》公共资源交易系统——组件下载——交易系统操作手册（投标人、供应商）。</w:t>
      </w:r>
    </w:p>
    <w:p w14:paraId="1DD5870E">
      <w:pPr>
        <w:spacing w:line="360" w:lineRule="auto"/>
        <w:ind w:firstLine="420" w:firstLineChars="200"/>
        <w:rPr>
          <w:rFonts w:hint="eastAsia" w:ascii="宋体" w:hAnsi="宋体" w:cs="宋体"/>
        </w:rPr>
      </w:pPr>
      <w:r>
        <w:rPr>
          <w:rFonts w:hint="eastAsia" w:ascii="宋体" w:hAnsi="宋体" w:cs="宋体"/>
        </w:rPr>
        <w:t>4.2投标人须将采购文件要求的资质、业绩、荣誉及相关人员证明材料等资料原件扫描件（或图片）制作到所提交的电子投标文件中。</w:t>
      </w:r>
    </w:p>
    <w:p w14:paraId="5F7A4C36">
      <w:pPr>
        <w:spacing w:line="360" w:lineRule="auto"/>
        <w:ind w:firstLine="420" w:firstLineChars="200"/>
        <w:rPr>
          <w:rFonts w:hint="eastAsia" w:ascii="宋体" w:hAnsi="宋体" w:cs="宋体"/>
        </w:rPr>
      </w:pPr>
      <w:r>
        <w:rPr>
          <w:rFonts w:hint="eastAsia" w:ascii="宋体" w:hAnsi="宋体" w:cs="宋体"/>
        </w:rPr>
        <w:t>4.3投标人对同一项目多个标段进行投标的，应分别下载所投标段的采购文件，按标段制作电子投标文件，并按采购文件要求在相应位置加盖投标人电子印章和法人电子印章。</w:t>
      </w:r>
    </w:p>
    <w:p w14:paraId="56DCA7DE">
      <w:pPr>
        <w:spacing w:line="360" w:lineRule="auto"/>
        <w:ind w:firstLine="420" w:firstLineChars="200"/>
        <w:rPr>
          <w:rFonts w:hint="eastAsia" w:ascii="宋体" w:hAnsi="宋体" w:cs="宋体"/>
        </w:rPr>
      </w:pPr>
      <w:r>
        <w:rPr>
          <w:rFonts w:hint="eastAsia" w:ascii="宋体" w:hAnsi="宋体" w:cs="宋体"/>
        </w:rPr>
        <w:t>一个标段对应生成一个文件夹（xxxx项目xx标段）, 其中包含2个文件和1个文件夹。后缀名为“.file”的文件用于电子投标使用，名称为“备份”的文件夹使用电子介质存储，供开标现场备用。</w:t>
      </w:r>
    </w:p>
    <w:p w14:paraId="0A3BF3C9">
      <w:pPr>
        <w:spacing w:line="360" w:lineRule="auto"/>
        <w:ind w:firstLine="420" w:firstLineChars="200"/>
        <w:rPr>
          <w:rFonts w:hint="eastAsia" w:ascii="宋体" w:hAnsi="宋体" w:cs="宋体"/>
        </w:rPr>
      </w:pPr>
      <w:r>
        <w:rPr>
          <w:rFonts w:hint="eastAsia" w:ascii="宋体" w:hAnsi="宋体" w:cs="宋体"/>
        </w:rPr>
        <w:t>5、加密电子投标文件的提交</w:t>
      </w:r>
    </w:p>
    <w:p w14:paraId="49AFF435">
      <w:pPr>
        <w:spacing w:line="360" w:lineRule="auto"/>
        <w:ind w:firstLine="420" w:firstLineChars="200"/>
        <w:rPr>
          <w:rFonts w:hint="eastAsia" w:ascii="宋体" w:hAnsi="宋体" w:cs="宋体"/>
        </w:rPr>
      </w:pPr>
      <w:r>
        <w:rPr>
          <w:rFonts w:hint="eastAsia" w:ascii="宋体" w:hAnsi="宋体" w:cs="宋体"/>
        </w:rPr>
        <w:t>5.1加密电子投标文件应在采购文件规定的投标截止时间（开标时间）之前成功提交至《全国公共资源交易平台(河南省▪平顶山市)》公共资源交易系统（http://221.176.192.166:8080/ggzy/）。投标人应充分考虑并预留技术处理和上传数据所需时间。</w:t>
      </w:r>
    </w:p>
    <w:p w14:paraId="566C031E">
      <w:pPr>
        <w:spacing w:line="360" w:lineRule="auto"/>
        <w:ind w:firstLine="420" w:firstLineChars="200"/>
        <w:rPr>
          <w:rFonts w:hint="eastAsia" w:ascii="宋体" w:hAnsi="宋体" w:cs="宋体"/>
        </w:rPr>
      </w:pPr>
      <w:r>
        <w:rPr>
          <w:rFonts w:hint="eastAsia" w:ascii="宋体" w:hAnsi="宋体" w:cs="宋体"/>
        </w:rPr>
        <w:t>5.2投标人对同一项目多个标段进行投标的，加密电子投标文件应按标段分别提交。</w:t>
      </w:r>
    </w:p>
    <w:bookmarkEnd w:id="3"/>
    <w:p w14:paraId="2FB1D7C5">
      <w:pPr>
        <w:spacing w:line="360" w:lineRule="auto"/>
        <w:ind w:firstLine="420" w:firstLineChars="200"/>
        <w:rPr>
          <w:rFonts w:hint="eastAsia" w:ascii="宋体" w:hAnsi="宋体" w:cs="宋体"/>
        </w:rPr>
      </w:pPr>
      <w:r>
        <w:rPr>
          <w:rFonts w:hint="eastAsia" w:ascii="宋体" w:hAnsi="宋体" w:cs="宋体"/>
        </w:rPr>
        <w:t>二、“不见面”开标注意事项及操作流程</w:t>
      </w:r>
    </w:p>
    <w:p w14:paraId="0BF095C9">
      <w:pPr>
        <w:spacing w:line="360" w:lineRule="auto"/>
        <w:ind w:firstLine="420" w:firstLineChars="200"/>
        <w:rPr>
          <w:rFonts w:hint="eastAsia" w:ascii="宋体" w:hAnsi="宋体" w:cs="宋体"/>
        </w:rPr>
      </w:pPr>
      <w:r>
        <w:rPr>
          <w:rFonts w:hint="eastAsia" w:ascii="宋体" w:hAnsi="宋体" w:cs="宋体"/>
        </w:rPr>
        <w:t>1、开标时，投标人采用网上远程异地解密时，请用CA证书登录平顶山市公共资源交易中心业务系统，进入本项目开标大厅点击解密来完成投标文件的解密工作。每位投标人的解密时间从开标时间起60分钟内完成，超过规定时间解密的投标文件不予接收。</w:t>
      </w:r>
    </w:p>
    <w:p w14:paraId="2DA9A556">
      <w:pPr>
        <w:spacing w:line="360" w:lineRule="auto"/>
        <w:ind w:firstLine="420" w:firstLineChars="200"/>
        <w:rPr>
          <w:rFonts w:hint="eastAsia" w:ascii="宋体" w:hAnsi="宋体" w:cs="宋体"/>
        </w:rPr>
      </w:pPr>
      <w:r>
        <w:rPr>
          <w:rFonts w:hint="eastAsia" w:ascii="宋体" w:hAnsi="宋体" w:cs="宋体"/>
        </w:rPr>
        <w:t>2、如出现投标人的电子投标文件无法解密的情况，投标人应及时联系采购人（代理机构）进行说明。投标文件解密异常，按以下步骤进行处理：</w:t>
      </w:r>
    </w:p>
    <w:p w14:paraId="175AD8C3">
      <w:pPr>
        <w:spacing w:line="360" w:lineRule="auto"/>
        <w:ind w:firstLine="420" w:firstLineChars="200"/>
        <w:rPr>
          <w:rFonts w:hint="eastAsia" w:ascii="宋体" w:hAnsi="宋体" w:cs="宋体"/>
        </w:rPr>
      </w:pPr>
      <w:r>
        <w:rPr>
          <w:rFonts w:hint="eastAsia" w:ascii="宋体" w:hAnsi="宋体" w:cs="宋体"/>
        </w:rPr>
        <w:t>（1）如果是投标文件自身问题导致投标文件无法解密的，该投标文件将不予接收、解密。</w:t>
      </w:r>
    </w:p>
    <w:p w14:paraId="7492CBF2">
      <w:pPr>
        <w:spacing w:line="360" w:lineRule="auto"/>
        <w:ind w:firstLine="420" w:firstLineChars="200"/>
        <w:rPr>
          <w:rFonts w:hint="eastAsia" w:ascii="宋体" w:hAnsi="宋体" w:cs="宋体"/>
        </w:rPr>
      </w:pPr>
      <w:r>
        <w:rPr>
          <w:rFonts w:hint="eastAsia" w:ascii="宋体" w:hAnsi="宋体" w:cs="宋体"/>
        </w:rPr>
        <w:t>（2）如果是电子化交易系统问题造成投标文件无法解密的，将由技术人员进行排查处理。如短时间内问题无法解决的，将由采购人（代理机构）联系监督部门申请暂停开标，待问题解决后继续开标。</w:t>
      </w:r>
    </w:p>
    <w:p w14:paraId="203BFABC">
      <w:pPr>
        <w:spacing w:line="360" w:lineRule="auto"/>
        <w:ind w:firstLine="420" w:firstLineChars="200"/>
        <w:rPr>
          <w:rFonts w:hint="eastAsia" w:ascii="宋体" w:hAnsi="宋体" w:cs="宋体"/>
        </w:rPr>
      </w:pPr>
      <w:r>
        <w:rPr>
          <w:rFonts w:hint="eastAsia" w:ascii="宋体" w:hAnsi="宋体" w:cs="宋体"/>
        </w:rPr>
        <w:t>3、所有投标文件解密完成后，由采购人（代理机构）操作，对开标结果进行公示。</w:t>
      </w:r>
    </w:p>
    <w:p w14:paraId="34D6BEFB">
      <w:pPr>
        <w:spacing w:line="360" w:lineRule="auto"/>
        <w:ind w:firstLine="420" w:firstLineChars="200"/>
        <w:rPr>
          <w:rFonts w:hint="eastAsia" w:ascii="宋体" w:hAnsi="宋体" w:cs="宋体"/>
        </w:rPr>
      </w:pPr>
      <w:r>
        <w:rPr>
          <w:rFonts w:hint="eastAsia" w:ascii="宋体" w:hAnsi="宋体" w:cs="宋体"/>
        </w:rPr>
        <w:t>4、投标人应保证在开标期间电话、电脑、网络等能够正常使用，投标人因停电、电脑病毒、网络堵塞等原因，未在规定的解密时间内对投标文件进行解密的，其投标文件不予接收。</w:t>
      </w:r>
    </w:p>
    <w:p w14:paraId="21A4F37C">
      <w:pPr>
        <w:spacing w:line="360" w:lineRule="auto"/>
        <w:ind w:firstLine="420" w:firstLineChars="200"/>
        <w:rPr>
          <w:rFonts w:hint="eastAsia" w:ascii="宋体" w:hAnsi="宋体" w:cs="宋体"/>
        </w:rPr>
      </w:pPr>
      <w:r>
        <w:rPr>
          <w:rFonts w:hint="eastAsia" w:ascii="宋体" w:hAnsi="宋体" w:cs="宋体"/>
        </w:rPr>
        <w:t>5、解密完成后，投标人可登录到交易系统查看自己的投标报价。如对自己的报价内容有异议的，应在报价内容显示后20分钟内联系采购人（代理机构）进行质疑，投标人未在规定时间内提出质疑的，视为认可开标结果显示内容。</w:t>
      </w:r>
    </w:p>
    <w:p w14:paraId="048E3D55">
      <w:pPr>
        <w:spacing w:line="360" w:lineRule="auto"/>
        <w:ind w:firstLine="480" w:firstLineChars="200"/>
        <w:rPr>
          <w:rFonts w:hint="eastAsia" w:ascii="宋体" w:hAnsi="宋体"/>
          <w:sz w:val="24"/>
        </w:rPr>
      </w:pPr>
    </w:p>
    <w:p w14:paraId="3DD1D0EE">
      <w:pPr>
        <w:spacing w:line="360" w:lineRule="auto"/>
        <w:ind w:firstLine="480" w:firstLineChars="200"/>
        <w:rPr>
          <w:rFonts w:hint="eastAsia" w:ascii="宋体" w:hAnsi="宋体"/>
          <w:sz w:val="24"/>
        </w:rPr>
        <w:sectPr>
          <w:pgSz w:w="11906" w:h="16838"/>
          <w:pgMar w:top="1134" w:right="1134" w:bottom="1418" w:left="1418" w:header="851" w:footer="992" w:gutter="0"/>
          <w:cols w:space="425" w:num="1"/>
          <w:docGrid w:type="lines" w:linePitch="312" w:charSpace="0"/>
        </w:sectPr>
      </w:pPr>
    </w:p>
    <w:p w14:paraId="0E4BFC0D">
      <w:pPr>
        <w:jc w:val="center"/>
        <w:rPr>
          <w:b/>
          <w:bCs/>
          <w:sz w:val="32"/>
          <w:szCs w:val="40"/>
        </w:rPr>
      </w:pPr>
      <w:bookmarkStart w:id="4" w:name="_Toc119784536"/>
      <w:r>
        <w:rPr>
          <w:rFonts w:hint="eastAsia"/>
          <w:b/>
          <w:bCs/>
          <w:sz w:val="32"/>
          <w:szCs w:val="40"/>
        </w:rPr>
        <w:t>第二章  投标人须知</w:t>
      </w:r>
      <w:bookmarkEnd w:id="4"/>
    </w:p>
    <w:p w14:paraId="699BB478">
      <w:pPr>
        <w:jc w:val="center"/>
        <w:rPr>
          <w:b/>
          <w:bCs/>
          <w:sz w:val="32"/>
          <w:szCs w:val="40"/>
        </w:rPr>
      </w:pPr>
      <w:bookmarkStart w:id="5" w:name="_Toc322589402"/>
      <w:bookmarkStart w:id="6" w:name="_Toc311235830"/>
      <w:bookmarkStart w:id="7" w:name="_Toc309416854"/>
      <w:bookmarkStart w:id="8" w:name="_Toc19983"/>
      <w:r>
        <w:rPr>
          <w:rFonts w:hint="eastAsia"/>
          <w:b/>
          <w:bCs/>
          <w:sz w:val="32"/>
          <w:szCs w:val="40"/>
        </w:rPr>
        <w:t>投标人须知前附表</w:t>
      </w:r>
      <w:bookmarkEnd w:id="5"/>
      <w:bookmarkEnd w:id="6"/>
      <w:bookmarkEnd w:id="7"/>
      <w:bookmarkEnd w:id="8"/>
    </w:p>
    <w:tbl>
      <w:tblPr>
        <w:tblStyle w:val="21"/>
        <w:tblW w:w="0" w:type="auto"/>
        <w:jc w:val="center"/>
        <w:tblLayout w:type="fixed"/>
        <w:tblCellMar>
          <w:top w:w="0" w:type="dxa"/>
          <w:left w:w="108" w:type="dxa"/>
          <w:bottom w:w="0" w:type="dxa"/>
          <w:right w:w="108" w:type="dxa"/>
        </w:tblCellMar>
      </w:tblPr>
      <w:tblGrid>
        <w:gridCol w:w="1078"/>
        <w:gridCol w:w="1985"/>
        <w:gridCol w:w="6179"/>
      </w:tblGrid>
      <w:tr w14:paraId="42C47289">
        <w:tblPrEx>
          <w:tblCellMar>
            <w:top w:w="0" w:type="dxa"/>
            <w:left w:w="108" w:type="dxa"/>
            <w:bottom w:w="0" w:type="dxa"/>
            <w:right w:w="108" w:type="dxa"/>
          </w:tblCellMar>
        </w:tblPrEx>
        <w:trPr>
          <w:trHeight w:val="47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40FE466">
            <w:pPr>
              <w:rPr>
                <w:rFonts w:hint="eastAsia" w:ascii="宋体" w:hAnsi="宋体" w:cs="宋体"/>
                <w:szCs w:val="21"/>
              </w:rPr>
            </w:pPr>
            <w:r>
              <w:rPr>
                <w:rFonts w:hint="eastAsia" w:ascii="宋体" w:hAnsi="宋体" w:cs="宋体"/>
                <w:szCs w:val="21"/>
              </w:rPr>
              <w:t>条款号</w:t>
            </w:r>
          </w:p>
        </w:tc>
        <w:tc>
          <w:tcPr>
            <w:tcW w:w="1985" w:type="dxa"/>
            <w:tcBorders>
              <w:top w:val="single" w:color="auto" w:sz="4" w:space="0"/>
              <w:left w:val="single" w:color="auto" w:sz="4" w:space="0"/>
              <w:bottom w:val="single" w:color="auto" w:sz="4" w:space="0"/>
              <w:right w:val="single" w:color="auto" w:sz="4" w:space="0"/>
            </w:tcBorders>
            <w:vAlign w:val="center"/>
          </w:tcPr>
          <w:p w14:paraId="1A8A3C84">
            <w:pPr>
              <w:rPr>
                <w:rFonts w:hint="eastAsia" w:ascii="宋体" w:hAnsi="宋体" w:cs="宋体"/>
                <w:szCs w:val="21"/>
              </w:rPr>
            </w:pPr>
            <w:r>
              <w:rPr>
                <w:rFonts w:hint="eastAsia" w:ascii="宋体" w:hAnsi="宋体" w:cs="宋体"/>
                <w:szCs w:val="21"/>
              </w:rPr>
              <w:t>条款名称</w:t>
            </w:r>
          </w:p>
        </w:tc>
        <w:tc>
          <w:tcPr>
            <w:tcW w:w="6179" w:type="dxa"/>
            <w:tcBorders>
              <w:top w:val="single" w:color="auto" w:sz="4" w:space="0"/>
              <w:left w:val="single" w:color="auto" w:sz="4" w:space="0"/>
              <w:bottom w:val="single" w:color="auto" w:sz="4" w:space="0"/>
              <w:right w:val="single" w:color="auto" w:sz="4" w:space="0"/>
            </w:tcBorders>
            <w:vAlign w:val="center"/>
          </w:tcPr>
          <w:p w14:paraId="7CDC158B">
            <w:pPr>
              <w:rPr>
                <w:rFonts w:hint="eastAsia" w:ascii="宋体" w:hAnsi="宋体" w:cs="宋体"/>
                <w:szCs w:val="21"/>
              </w:rPr>
            </w:pPr>
            <w:r>
              <w:rPr>
                <w:rFonts w:hint="eastAsia" w:ascii="宋体" w:hAnsi="宋体" w:cs="宋体"/>
                <w:szCs w:val="21"/>
              </w:rPr>
              <w:t>编列内容</w:t>
            </w:r>
          </w:p>
        </w:tc>
      </w:tr>
      <w:tr w14:paraId="72F062A0">
        <w:tblPrEx>
          <w:tblCellMar>
            <w:top w:w="0" w:type="dxa"/>
            <w:left w:w="108" w:type="dxa"/>
            <w:bottom w:w="0" w:type="dxa"/>
            <w:right w:w="108" w:type="dxa"/>
          </w:tblCellMar>
        </w:tblPrEx>
        <w:trPr>
          <w:jc w:val="center"/>
        </w:trPr>
        <w:tc>
          <w:tcPr>
            <w:tcW w:w="1078" w:type="dxa"/>
            <w:tcBorders>
              <w:top w:val="single" w:color="auto" w:sz="4" w:space="0"/>
              <w:left w:val="single" w:color="auto" w:sz="4" w:space="0"/>
              <w:bottom w:val="single" w:color="auto" w:sz="4" w:space="0"/>
              <w:right w:val="single" w:color="auto" w:sz="4" w:space="0"/>
            </w:tcBorders>
            <w:vAlign w:val="center"/>
          </w:tcPr>
          <w:p w14:paraId="1A3E0135">
            <w:pPr>
              <w:rPr>
                <w:rFonts w:hint="eastAsia" w:ascii="宋体" w:hAnsi="宋体" w:cs="宋体"/>
                <w:szCs w:val="21"/>
              </w:rPr>
            </w:pPr>
            <w:r>
              <w:rPr>
                <w:rFonts w:hint="eastAsia" w:ascii="宋体" w:hAnsi="宋体" w:cs="宋体"/>
                <w:szCs w:val="21"/>
              </w:rPr>
              <w:t>1</w:t>
            </w:r>
          </w:p>
        </w:tc>
        <w:tc>
          <w:tcPr>
            <w:tcW w:w="1985" w:type="dxa"/>
            <w:tcBorders>
              <w:top w:val="single" w:color="auto" w:sz="4" w:space="0"/>
              <w:left w:val="single" w:color="auto" w:sz="4" w:space="0"/>
              <w:bottom w:val="single" w:color="auto" w:sz="4" w:space="0"/>
              <w:right w:val="single" w:color="auto" w:sz="4" w:space="0"/>
            </w:tcBorders>
            <w:vAlign w:val="center"/>
          </w:tcPr>
          <w:p w14:paraId="1514FD91">
            <w:pPr>
              <w:rPr>
                <w:rFonts w:hint="eastAsia" w:ascii="宋体" w:hAnsi="宋体" w:cs="宋体"/>
                <w:szCs w:val="21"/>
              </w:rPr>
            </w:pPr>
            <w:r>
              <w:rPr>
                <w:rFonts w:hint="eastAsia" w:ascii="宋体" w:hAnsi="宋体" w:cs="宋体"/>
                <w:szCs w:val="21"/>
              </w:rPr>
              <w:t>采购人</w:t>
            </w:r>
          </w:p>
        </w:tc>
        <w:tc>
          <w:tcPr>
            <w:tcW w:w="6179" w:type="dxa"/>
            <w:tcBorders>
              <w:top w:val="single" w:color="auto" w:sz="4" w:space="0"/>
              <w:left w:val="single" w:color="auto" w:sz="4" w:space="0"/>
              <w:bottom w:val="single" w:color="auto" w:sz="4" w:space="0"/>
              <w:right w:val="single" w:color="auto" w:sz="4" w:space="0"/>
            </w:tcBorders>
            <w:vAlign w:val="center"/>
          </w:tcPr>
          <w:p w14:paraId="1DB1934D">
            <w:pPr>
              <w:rPr>
                <w:rFonts w:hint="eastAsia" w:ascii="宋体" w:hAnsi="宋体" w:cs="宋体"/>
                <w:szCs w:val="21"/>
              </w:rPr>
            </w:pPr>
            <w:r>
              <w:rPr>
                <w:rFonts w:hint="eastAsia" w:ascii="宋体" w:hAnsi="宋体" w:cs="宋体"/>
                <w:szCs w:val="21"/>
              </w:rPr>
              <w:t>名称：鲁山县粮食和物资储备服务中心</w:t>
            </w:r>
          </w:p>
          <w:p w14:paraId="062BB4EF">
            <w:pPr>
              <w:rPr>
                <w:rFonts w:hint="eastAsia" w:ascii="宋体" w:hAnsi="宋体" w:cs="宋体"/>
                <w:szCs w:val="21"/>
              </w:rPr>
            </w:pPr>
            <w:r>
              <w:rPr>
                <w:rFonts w:hint="eastAsia" w:ascii="宋体" w:hAnsi="宋体" w:cs="宋体"/>
                <w:szCs w:val="21"/>
              </w:rPr>
              <w:t>地址：鲁山县向阳路中段紫金城大厦三街口</w:t>
            </w:r>
          </w:p>
          <w:p w14:paraId="3672AF10">
            <w:pPr>
              <w:rPr>
                <w:rFonts w:hint="eastAsia" w:ascii="宋体" w:hAnsi="宋体" w:cs="宋体"/>
                <w:szCs w:val="21"/>
              </w:rPr>
            </w:pPr>
            <w:r>
              <w:rPr>
                <w:rFonts w:hint="eastAsia" w:ascii="宋体" w:hAnsi="宋体" w:cs="宋体"/>
                <w:szCs w:val="21"/>
              </w:rPr>
              <w:t>联系人：</w:t>
            </w:r>
            <w:r>
              <w:rPr>
                <w:rFonts w:hint="eastAsia" w:ascii="宋体" w:hAnsi="宋体" w:cs="宋体"/>
                <w:szCs w:val="21"/>
                <w:lang w:val="en-US" w:eastAsia="zh-CN"/>
              </w:rPr>
              <w:t>李女士</w:t>
            </w:r>
          </w:p>
          <w:p w14:paraId="3B7E39AC">
            <w:pPr>
              <w:rPr>
                <w:rFonts w:hint="eastAsia" w:ascii="宋体" w:hAnsi="宋体" w:cs="宋体"/>
                <w:szCs w:val="21"/>
              </w:rPr>
            </w:pPr>
            <w:r>
              <w:rPr>
                <w:rFonts w:hint="eastAsia" w:ascii="宋体" w:hAnsi="宋体" w:cs="宋体"/>
                <w:szCs w:val="21"/>
              </w:rPr>
              <w:t>联系方式：</w:t>
            </w:r>
            <w:r>
              <w:rPr>
                <w:rFonts w:hint="eastAsia" w:ascii="宋体" w:hAnsi="宋体" w:cs="宋体"/>
                <w:szCs w:val="21"/>
                <w:lang w:val="en-US" w:eastAsia="zh-CN"/>
              </w:rPr>
              <w:t>13569554168</w:t>
            </w:r>
          </w:p>
        </w:tc>
      </w:tr>
      <w:tr w14:paraId="2C4BCB40">
        <w:tblPrEx>
          <w:tblCellMar>
            <w:top w:w="0" w:type="dxa"/>
            <w:left w:w="108" w:type="dxa"/>
            <w:bottom w:w="0" w:type="dxa"/>
            <w:right w:w="108" w:type="dxa"/>
          </w:tblCellMar>
        </w:tblPrEx>
        <w:trPr>
          <w:trHeight w:val="98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541BC92">
            <w:pPr>
              <w:rPr>
                <w:rFonts w:hint="eastAsia" w:ascii="宋体" w:hAnsi="宋体" w:cs="宋体"/>
                <w:szCs w:val="21"/>
              </w:rPr>
            </w:pPr>
            <w:r>
              <w:rPr>
                <w:rFonts w:hint="eastAsia" w:ascii="宋体" w:hAnsi="宋体" w:cs="宋体"/>
                <w:szCs w:val="21"/>
              </w:rPr>
              <w:t>2</w:t>
            </w:r>
          </w:p>
        </w:tc>
        <w:tc>
          <w:tcPr>
            <w:tcW w:w="1985" w:type="dxa"/>
            <w:tcBorders>
              <w:top w:val="single" w:color="auto" w:sz="4" w:space="0"/>
              <w:left w:val="single" w:color="auto" w:sz="4" w:space="0"/>
              <w:bottom w:val="single" w:color="auto" w:sz="4" w:space="0"/>
              <w:right w:val="single" w:color="auto" w:sz="4" w:space="0"/>
            </w:tcBorders>
            <w:vAlign w:val="center"/>
          </w:tcPr>
          <w:p w14:paraId="354A60C1">
            <w:pPr>
              <w:rPr>
                <w:rFonts w:hint="eastAsia" w:ascii="宋体" w:hAnsi="宋体" w:cs="宋体"/>
                <w:szCs w:val="21"/>
              </w:rPr>
            </w:pPr>
            <w:r>
              <w:rPr>
                <w:rFonts w:hint="eastAsia" w:ascii="宋体" w:hAnsi="宋体" w:cs="宋体"/>
                <w:szCs w:val="21"/>
              </w:rPr>
              <w:t>采购代理机构</w:t>
            </w:r>
          </w:p>
        </w:tc>
        <w:tc>
          <w:tcPr>
            <w:tcW w:w="6179" w:type="dxa"/>
            <w:tcBorders>
              <w:top w:val="single" w:color="auto" w:sz="4" w:space="0"/>
              <w:left w:val="single" w:color="auto" w:sz="4" w:space="0"/>
              <w:bottom w:val="single" w:color="auto" w:sz="4" w:space="0"/>
              <w:right w:val="single" w:color="auto" w:sz="4" w:space="0"/>
            </w:tcBorders>
            <w:vAlign w:val="center"/>
          </w:tcPr>
          <w:p w14:paraId="49D85C90">
            <w:pPr>
              <w:rPr>
                <w:rFonts w:hint="eastAsia" w:ascii="宋体" w:hAnsi="宋体" w:cs="宋体"/>
                <w:szCs w:val="21"/>
              </w:rPr>
            </w:pPr>
            <w:r>
              <w:rPr>
                <w:rFonts w:hint="eastAsia" w:ascii="宋体" w:hAnsi="宋体" w:cs="宋体"/>
                <w:szCs w:val="21"/>
              </w:rPr>
              <w:t>名称：大豫工程咨询有限公司</w:t>
            </w:r>
          </w:p>
          <w:p w14:paraId="7F7D1C1D">
            <w:pPr>
              <w:rPr>
                <w:rFonts w:hint="eastAsia" w:ascii="宋体" w:hAnsi="宋体" w:cs="宋体"/>
                <w:szCs w:val="21"/>
              </w:rPr>
            </w:pPr>
            <w:r>
              <w:rPr>
                <w:rFonts w:hint="eastAsia" w:ascii="宋体" w:hAnsi="宋体" w:cs="宋体"/>
                <w:szCs w:val="21"/>
              </w:rPr>
              <w:t>地址：河南自贸试验区郑州片区(经开)第十四大街以东、经南九路以南正商滨河铭筑5幢6层625号</w:t>
            </w:r>
          </w:p>
          <w:p w14:paraId="1062C16E">
            <w:pPr>
              <w:rPr>
                <w:rFonts w:hint="eastAsia" w:ascii="宋体" w:hAnsi="宋体" w:cs="宋体"/>
                <w:szCs w:val="21"/>
              </w:rPr>
            </w:pPr>
            <w:r>
              <w:rPr>
                <w:rFonts w:hint="eastAsia" w:ascii="宋体" w:hAnsi="宋体" w:cs="宋体"/>
                <w:szCs w:val="21"/>
              </w:rPr>
              <w:t>联系人：朱先生</w:t>
            </w:r>
          </w:p>
          <w:p w14:paraId="69F213CF">
            <w:pPr>
              <w:rPr>
                <w:rFonts w:hint="eastAsia" w:ascii="宋体" w:hAnsi="宋体" w:cs="宋体"/>
                <w:szCs w:val="21"/>
              </w:rPr>
            </w:pPr>
            <w:r>
              <w:rPr>
                <w:rFonts w:hint="eastAsia" w:ascii="宋体" w:hAnsi="宋体" w:cs="宋体"/>
                <w:szCs w:val="21"/>
              </w:rPr>
              <w:t>联系方式：13723234433</w:t>
            </w:r>
          </w:p>
        </w:tc>
      </w:tr>
      <w:tr w14:paraId="2C3BDC0C">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4F78780">
            <w:pPr>
              <w:rPr>
                <w:rFonts w:hint="eastAsia" w:ascii="宋体" w:hAnsi="宋体" w:cs="宋体"/>
                <w:szCs w:val="21"/>
              </w:rPr>
            </w:pPr>
            <w:r>
              <w:rPr>
                <w:rFonts w:hint="eastAsia" w:ascii="宋体" w:hAnsi="宋体" w:cs="宋体"/>
                <w:szCs w:val="21"/>
              </w:rPr>
              <w:t>3</w:t>
            </w:r>
          </w:p>
        </w:tc>
        <w:tc>
          <w:tcPr>
            <w:tcW w:w="1985" w:type="dxa"/>
            <w:tcBorders>
              <w:top w:val="single" w:color="auto" w:sz="4" w:space="0"/>
              <w:left w:val="single" w:color="auto" w:sz="4" w:space="0"/>
              <w:bottom w:val="single" w:color="auto" w:sz="4" w:space="0"/>
              <w:right w:val="single" w:color="auto" w:sz="4" w:space="0"/>
            </w:tcBorders>
            <w:vAlign w:val="center"/>
          </w:tcPr>
          <w:p w14:paraId="5DAAE9F1">
            <w:pPr>
              <w:rPr>
                <w:rFonts w:hint="eastAsia" w:ascii="宋体" w:hAnsi="宋体" w:cs="宋体"/>
                <w:szCs w:val="21"/>
              </w:rPr>
            </w:pPr>
            <w:r>
              <w:rPr>
                <w:rFonts w:hint="eastAsia" w:ascii="宋体" w:hAnsi="宋体" w:cs="宋体"/>
                <w:szCs w:val="21"/>
              </w:rPr>
              <w:t>项目名称</w:t>
            </w:r>
          </w:p>
        </w:tc>
        <w:tc>
          <w:tcPr>
            <w:tcW w:w="6179" w:type="dxa"/>
            <w:tcBorders>
              <w:top w:val="single" w:color="auto" w:sz="4" w:space="0"/>
              <w:left w:val="single" w:color="auto" w:sz="4" w:space="0"/>
              <w:bottom w:val="single" w:color="auto" w:sz="4" w:space="0"/>
              <w:right w:val="single" w:color="auto" w:sz="4" w:space="0"/>
            </w:tcBorders>
            <w:vAlign w:val="center"/>
          </w:tcPr>
          <w:p w14:paraId="30EE4536">
            <w:pPr>
              <w:rPr>
                <w:rFonts w:hint="eastAsia" w:ascii="宋体" w:hAnsi="宋体" w:cs="宋体"/>
                <w:szCs w:val="21"/>
              </w:rPr>
            </w:pPr>
            <w:r>
              <w:rPr>
                <w:rFonts w:hint="eastAsia" w:ascii="宋体" w:hAnsi="宋体" w:cs="宋体"/>
                <w:szCs w:val="21"/>
              </w:rPr>
              <w:t>鲁山县粮食和物资储备服务中心鲁山县粮食储备体系升级改造项目（智能化信息监管系统）项目</w:t>
            </w:r>
          </w:p>
        </w:tc>
      </w:tr>
      <w:tr w14:paraId="45335F9D">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8AA6779">
            <w:pPr>
              <w:rPr>
                <w:rFonts w:hint="eastAsia" w:ascii="宋体" w:hAnsi="宋体" w:cs="宋体"/>
                <w:szCs w:val="21"/>
              </w:rPr>
            </w:pPr>
            <w:r>
              <w:rPr>
                <w:rFonts w:hint="eastAsia" w:ascii="宋体" w:hAnsi="宋体" w:cs="宋体"/>
                <w:szCs w:val="21"/>
              </w:rPr>
              <w:t>4</w:t>
            </w:r>
          </w:p>
        </w:tc>
        <w:tc>
          <w:tcPr>
            <w:tcW w:w="1985" w:type="dxa"/>
            <w:tcBorders>
              <w:top w:val="single" w:color="auto" w:sz="4" w:space="0"/>
              <w:left w:val="single" w:color="auto" w:sz="4" w:space="0"/>
              <w:bottom w:val="single" w:color="auto" w:sz="4" w:space="0"/>
              <w:right w:val="single" w:color="auto" w:sz="4" w:space="0"/>
            </w:tcBorders>
            <w:vAlign w:val="center"/>
          </w:tcPr>
          <w:p w14:paraId="0766FB65">
            <w:pPr>
              <w:rPr>
                <w:rFonts w:hint="eastAsia" w:ascii="宋体" w:hAnsi="宋体" w:cs="宋体"/>
                <w:szCs w:val="21"/>
              </w:rPr>
            </w:pPr>
            <w:r>
              <w:rPr>
                <w:rFonts w:hint="eastAsia" w:ascii="宋体" w:hAnsi="宋体" w:cs="宋体"/>
                <w:szCs w:val="21"/>
              </w:rPr>
              <w:t>服务地点</w:t>
            </w:r>
          </w:p>
        </w:tc>
        <w:tc>
          <w:tcPr>
            <w:tcW w:w="6179" w:type="dxa"/>
            <w:tcBorders>
              <w:top w:val="single" w:color="auto" w:sz="4" w:space="0"/>
              <w:left w:val="single" w:color="auto" w:sz="4" w:space="0"/>
              <w:bottom w:val="single" w:color="auto" w:sz="4" w:space="0"/>
              <w:right w:val="single" w:color="auto" w:sz="4" w:space="0"/>
            </w:tcBorders>
            <w:vAlign w:val="center"/>
          </w:tcPr>
          <w:p w14:paraId="2B7B0FF1">
            <w:pPr>
              <w:rPr>
                <w:rFonts w:hint="eastAsia" w:ascii="宋体" w:hAnsi="宋体" w:cs="宋体"/>
                <w:szCs w:val="21"/>
              </w:rPr>
            </w:pPr>
            <w:r>
              <w:rPr>
                <w:rFonts w:hint="eastAsia" w:ascii="宋体" w:hAnsi="宋体" w:cs="宋体"/>
                <w:szCs w:val="21"/>
              </w:rPr>
              <w:t>采购人指定地点</w:t>
            </w:r>
          </w:p>
        </w:tc>
      </w:tr>
      <w:tr w14:paraId="3EF36B59">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576D0B5">
            <w:pPr>
              <w:rPr>
                <w:rFonts w:hint="eastAsia" w:ascii="宋体" w:hAnsi="宋体" w:cs="宋体"/>
                <w:szCs w:val="21"/>
              </w:rPr>
            </w:pPr>
            <w:r>
              <w:rPr>
                <w:rFonts w:hint="eastAsia" w:ascii="宋体" w:hAnsi="宋体" w:cs="宋体"/>
                <w:szCs w:val="21"/>
              </w:rPr>
              <w:t>5</w:t>
            </w:r>
          </w:p>
        </w:tc>
        <w:tc>
          <w:tcPr>
            <w:tcW w:w="1985" w:type="dxa"/>
            <w:tcBorders>
              <w:top w:val="single" w:color="auto" w:sz="4" w:space="0"/>
              <w:left w:val="single" w:color="auto" w:sz="4" w:space="0"/>
              <w:bottom w:val="single" w:color="auto" w:sz="4" w:space="0"/>
              <w:right w:val="single" w:color="auto" w:sz="4" w:space="0"/>
            </w:tcBorders>
            <w:vAlign w:val="center"/>
          </w:tcPr>
          <w:p w14:paraId="70505570">
            <w:pPr>
              <w:rPr>
                <w:rFonts w:hint="eastAsia" w:ascii="宋体" w:hAnsi="宋体" w:cs="宋体"/>
                <w:szCs w:val="21"/>
              </w:rPr>
            </w:pPr>
            <w:r>
              <w:rPr>
                <w:rFonts w:hint="eastAsia" w:ascii="宋体" w:hAnsi="宋体" w:cs="宋体"/>
                <w:szCs w:val="21"/>
              </w:rPr>
              <w:t>资金来源</w:t>
            </w:r>
          </w:p>
        </w:tc>
        <w:tc>
          <w:tcPr>
            <w:tcW w:w="6179" w:type="dxa"/>
            <w:tcBorders>
              <w:top w:val="single" w:color="auto" w:sz="4" w:space="0"/>
              <w:left w:val="single" w:color="auto" w:sz="4" w:space="0"/>
              <w:bottom w:val="single" w:color="auto" w:sz="4" w:space="0"/>
              <w:right w:val="single" w:color="auto" w:sz="4" w:space="0"/>
            </w:tcBorders>
            <w:vAlign w:val="center"/>
          </w:tcPr>
          <w:p w14:paraId="06D512B2">
            <w:pPr>
              <w:rPr>
                <w:rFonts w:hint="eastAsia" w:ascii="宋体" w:hAnsi="宋体" w:cs="宋体"/>
                <w:szCs w:val="21"/>
              </w:rPr>
            </w:pPr>
            <w:r>
              <w:rPr>
                <w:rFonts w:hint="eastAsia" w:ascii="宋体" w:hAnsi="宋体" w:cs="宋体"/>
                <w:szCs w:val="21"/>
              </w:rPr>
              <w:t>财政资金</w:t>
            </w:r>
          </w:p>
        </w:tc>
      </w:tr>
      <w:tr w14:paraId="19833EB3">
        <w:tblPrEx>
          <w:tblCellMar>
            <w:top w:w="0" w:type="dxa"/>
            <w:left w:w="108" w:type="dxa"/>
            <w:bottom w:w="0" w:type="dxa"/>
            <w:right w:w="108" w:type="dxa"/>
          </w:tblCellMar>
        </w:tblPrEx>
        <w:trPr>
          <w:trHeight w:val="60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9B249DE">
            <w:pPr>
              <w:rPr>
                <w:rFonts w:hint="eastAsia" w:ascii="宋体" w:hAnsi="宋体" w:cs="宋体"/>
                <w:szCs w:val="21"/>
              </w:rPr>
            </w:pPr>
            <w:r>
              <w:rPr>
                <w:rFonts w:hint="eastAsia" w:ascii="宋体" w:hAnsi="宋体" w:cs="宋体"/>
                <w:szCs w:val="21"/>
              </w:rPr>
              <w:t>6</w:t>
            </w:r>
          </w:p>
        </w:tc>
        <w:tc>
          <w:tcPr>
            <w:tcW w:w="1985" w:type="dxa"/>
            <w:tcBorders>
              <w:top w:val="single" w:color="auto" w:sz="4" w:space="0"/>
              <w:left w:val="single" w:color="auto" w:sz="4" w:space="0"/>
              <w:bottom w:val="single" w:color="auto" w:sz="4" w:space="0"/>
              <w:right w:val="single" w:color="auto" w:sz="4" w:space="0"/>
            </w:tcBorders>
            <w:vAlign w:val="center"/>
          </w:tcPr>
          <w:p w14:paraId="663A8BBC">
            <w:pPr>
              <w:rPr>
                <w:rFonts w:hint="eastAsia" w:ascii="宋体" w:hAnsi="宋体" w:cs="宋体"/>
                <w:szCs w:val="21"/>
              </w:rPr>
            </w:pPr>
            <w:r>
              <w:rPr>
                <w:rFonts w:hint="eastAsia" w:ascii="宋体" w:hAnsi="宋体" w:cs="宋体"/>
                <w:szCs w:val="21"/>
              </w:rPr>
              <w:t>出资比例</w:t>
            </w:r>
          </w:p>
        </w:tc>
        <w:tc>
          <w:tcPr>
            <w:tcW w:w="6179" w:type="dxa"/>
            <w:tcBorders>
              <w:top w:val="single" w:color="auto" w:sz="4" w:space="0"/>
              <w:left w:val="single" w:color="auto" w:sz="4" w:space="0"/>
              <w:bottom w:val="single" w:color="auto" w:sz="4" w:space="0"/>
              <w:right w:val="single" w:color="auto" w:sz="4" w:space="0"/>
            </w:tcBorders>
            <w:vAlign w:val="center"/>
          </w:tcPr>
          <w:p w14:paraId="6D767DED">
            <w:pPr>
              <w:rPr>
                <w:rFonts w:hint="eastAsia" w:ascii="宋体" w:hAnsi="宋体" w:cs="宋体"/>
                <w:szCs w:val="21"/>
              </w:rPr>
            </w:pPr>
            <w:r>
              <w:rPr>
                <w:rFonts w:hint="eastAsia" w:ascii="宋体" w:hAnsi="宋体" w:cs="宋体"/>
                <w:szCs w:val="21"/>
              </w:rPr>
              <w:t>100%</w:t>
            </w:r>
          </w:p>
        </w:tc>
      </w:tr>
      <w:tr w14:paraId="014287D3">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FB26E87">
            <w:pPr>
              <w:rPr>
                <w:rFonts w:hint="eastAsia" w:ascii="宋体" w:hAnsi="宋体" w:cs="宋体"/>
                <w:szCs w:val="21"/>
              </w:rPr>
            </w:pPr>
            <w:r>
              <w:rPr>
                <w:rFonts w:hint="eastAsia" w:ascii="宋体" w:hAnsi="宋体" w:cs="宋体"/>
                <w:szCs w:val="21"/>
              </w:rPr>
              <w:t>7</w:t>
            </w:r>
          </w:p>
        </w:tc>
        <w:tc>
          <w:tcPr>
            <w:tcW w:w="1985" w:type="dxa"/>
            <w:tcBorders>
              <w:top w:val="single" w:color="auto" w:sz="4" w:space="0"/>
              <w:left w:val="single" w:color="auto" w:sz="4" w:space="0"/>
              <w:bottom w:val="single" w:color="auto" w:sz="4" w:space="0"/>
              <w:right w:val="single" w:color="auto" w:sz="4" w:space="0"/>
            </w:tcBorders>
            <w:vAlign w:val="center"/>
          </w:tcPr>
          <w:p w14:paraId="1098453B">
            <w:pPr>
              <w:rPr>
                <w:rFonts w:hint="eastAsia" w:ascii="宋体" w:hAnsi="宋体" w:cs="宋体"/>
                <w:szCs w:val="21"/>
              </w:rPr>
            </w:pPr>
            <w:r>
              <w:rPr>
                <w:rFonts w:hint="eastAsia" w:ascii="宋体" w:hAnsi="宋体" w:cs="宋体"/>
                <w:szCs w:val="21"/>
              </w:rPr>
              <w:t>资金落实情况</w:t>
            </w:r>
          </w:p>
        </w:tc>
        <w:tc>
          <w:tcPr>
            <w:tcW w:w="6179" w:type="dxa"/>
            <w:tcBorders>
              <w:top w:val="single" w:color="auto" w:sz="4" w:space="0"/>
              <w:left w:val="single" w:color="auto" w:sz="4" w:space="0"/>
              <w:bottom w:val="single" w:color="auto" w:sz="4" w:space="0"/>
              <w:right w:val="single" w:color="auto" w:sz="4" w:space="0"/>
            </w:tcBorders>
            <w:vAlign w:val="center"/>
          </w:tcPr>
          <w:p w14:paraId="0C0B4A10">
            <w:pPr>
              <w:rPr>
                <w:rFonts w:hint="eastAsia" w:ascii="宋体" w:hAnsi="宋体" w:cs="宋体"/>
                <w:szCs w:val="21"/>
              </w:rPr>
            </w:pPr>
            <w:r>
              <w:rPr>
                <w:rFonts w:hint="eastAsia" w:ascii="宋体" w:hAnsi="宋体" w:cs="宋体"/>
                <w:szCs w:val="21"/>
              </w:rPr>
              <w:t>已落实</w:t>
            </w:r>
          </w:p>
        </w:tc>
      </w:tr>
      <w:tr w14:paraId="7BA8A835">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52D77A2">
            <w:pPr>
              <w:rPr>
                <w:rFonts w:hint="eastAsia" w:ascii="宋体" w:hAnsi="宋体" w:cs="宋体"/>
                <w:szCs w:val="21"/>
              </w:rPr>
            </w:pPr>
            <w:r>
              <w:rPr>
                <w:rFonts w:hint="eastAsia" w:ascii="宋体" w:hAnsi="宋体" w:cs="宋体"/>
                <w:szCs w:val="21"/>
              </w:rPr>
              <w:t>8</w:t>
            </w:r>
          </w:p>
        </w:tc>
        <w:tc>
          <w:tcPr>
            <w:tcW w:w="1985" w:type="dxa"/>
            <w:tcBorders>
              <w:top w:val="single" w:color="auto" w:sz="4" w:space="0"/>
              <w:left w:val="single" w:color="auto" w:sz="4" w:space="0"/>
              <w:bottom w:val="single" w:color="auto" w:sz="4" w:space="0"/>
              <w:right w:val="single" w:color="auto" w:sz="4" w:space="0"/>
            </w:tcBorders>
            <w:vAlign w:val="center"/>
          </w:tcPr>
          <w:p w14:paraId="1C75699F">
            <w:pPr>
              <w:rPr>
                <w:rFonts w:hint="eastAsia" w:ascii="宋体" w:hAnsi="宋体" w:cs="宋体"/>
                <w:szCs w:val="21"/>
              </w:rPr>
            </w:pPr>
            <w:r>
              <w:rPr>
                <w:rFonts w:hint="eastAsia" w:ascii="宋体" w:hAnsi="宋体" w:cs="宋体"/>
                <w:szCs w:val="21"/>
              </w:rPr>
              <w:t>采购范围</w:t>
            </w:r>
          </w:p>
        </w:tc>
        <w:tc>
          <w:tcPr>
            <w:tcW w:w="6179" w:type="dxa"/>
            <w:tcBorders>
              <w:top w:val="single" w:color="auto" w:sz="4" w:space="0"/>
              <w:left w:val="single" w:color="auto" w:sz="4" w:space="0"/>
              <w:bottom w:val="single" w:color="auto" w:sz="4" w:space="0"/>
              <w:right w:val="single" w:color="auto" w:sz="4" w:space="0"/>
            </w:tcBorders>
            <w:vAlign w:val="center"/>
          </w:tcPr>
          <w:p w14:paraId="04A16B96">
            <w:pPr>
              <w:rPr>
                <w:rFonts w:hint="eastAsia" w:ascii="宋体" w:hAnsi="宋体" w:cs="宋体"/>
                <w:szCs w:val="21"/>
              </w:rPr>
            </w:pPr>
            <w:r>
              <w:rPr>
                <w:rFonts w:hint="eastAsia" w:ascii="宋体" w:hAnsi="宋体" w:cs="宋体"/>
                <w:szCs w:val="21"/>
              </w:rPr>
              <w:t>招标文件包含的全部内容</w:t>
            </w:r>
          </w:p>
        </w:tc>
      </w:tr>
      <w:tr w14:paraId="1C17AC86">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F4E8630">
            <w:pPr>
              <w:rPr>
                <w:rFonts w:hint="eastAsia" w:ascii="宋体" w:hAnsi="宋体" w:cs="宋体"/>
                <w:szCs w:val="21"/>
              </w:rPr>
            </w:pPr>
            <w:r>
              <w:rPr>
                <w:rFonts w:hint="eastAsia" w:ascii="宋体" w:hAnsi="宋体" w:cs="宋体"/>
                <w:szCs w:val="21"/>
              </w:rPr>
              <w:t>9</w:t>
            </w:r>
          </w:p>
        </w:tc>
        <w:tc>
          <w:tcPr>
            <w:tcW w:w="1985" w:type="dxa"/>
            <w:tcBorders>
              <w:top w:val="single" w:color="auto" w:sz="4" w:space="0"/>
              <w:left w:val="single" w:color="auto" w:sz="4" w:space="0"/>
              <w:bottom w:val="single" w:color="auto" w:sz="4" w:space="0"/>
              <w:right w:val="single" w:color="auto" w:sz="4" w:space="0"/>
            </w:tcBorders>
            <w:vAlign w:val="center"/>
          </w:tcPr>
          <w:p w14:paraId="7FBF7FBD">
            <w:pPr>
              <w:rPr>
                <w:rFonts w:hint="eastAsia" w:ascii="宋体" w:hAnsi="宋体" w:cs="宋体"/>
                <w:szCs w:val="21"/>
                <w:highlight w:val="none"/>
              </w:rPr>
            </w:pPr>
            <w:r>
              <w:rPr>
                <w:rFonts w:hint="eastAsia" w:ascii="宋体" w:hAnsi="宋体" w:cs="宋体"/>
                <w:szCs w:val="21"/>
                <w:highlight w:val="none"/>
              </w:rPr>
              <w:t>建设周期</w:t>
            </w:r>
          </w:p>
        </w:tc>
        <w:tc>
          <w:tcPr>
            <w:tcW w:w="6179" w:type="dxa"/>
            <w:tcBorders>
              <w:top w:val="single" w:color="auto" w:sz="4" w:space="0"/>
              <w:left w:val="single" w:color="auto" w:sz="4" w:space="0"/>
              <w:bottom w:val="single" w:color="auto" w:sz="4" w:space="0"/>
              <w:right w:val="single" w:color="auto" w:sz="4" w:space="0"/>
            </w:tcBorders>
            <w:vAlign w:val="center"/>
          </w:tcPr>
          <w:p w14:paraId="7B4B2B69">
            <w:pPr>
              <w:rPr>
                <w:rFonts w:hint="eastAsia" w:ascii="宋体" w:hAnsi="宋体" w:cs="宋体"/>
                <w:szCs w:val="21"/>
                <w:highlight w:val="none"/>
              </w:rPr>
            </w:pPr>
            <w:r>
              <w:rPr>
                <w:rFonts w:hint="eastAsia"/>
                <w:highlight w:val="none"/>
              </w:rPr>
              <w:t>合同签订后，6个月内安装完毕</w:t>
            </w:r>
          </w:p>
        </w:tc>
      </w:tr>
      <w:tr w14:paraId="3C9B37FA">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6840B0D">
            <w:pPr>
              <w:rPr>
                <w:rFonts w:hint="eastAsia" w:ascii="宋体" w:hAnsi="宋体" w:cs="宋体"/>
                <w:szCs w:val="21"/>
              </w:rPr>
            </w:pPr>
            <w:r>
              <w:rPr>
                <w:rFonts w:hint="eastAsia" w:ascii="宋体" w:hAnsi="宋体" w:cs="宋体"/>
                <w:szCs w:val="21"/>
              </w:rPr>
              <w:t>10</w:t>
            </w:r>
          </w:p>
        </w:tc>
        <w:tc>
          <w:tcPr>
            <w:tcW w:w="1985" w:type="dxa"/>
            <w:tcBorders>
              <w:top w:val="single" w:color="auto" w:sz="4" w:space="0"/>
              <w:left w:val="single" w:color="auto" w:sz="4" w:space="0"/>
              <w:bottom w:val="single" w:color="auto" w:sz="4" w:space="0"/>
              <w:right w:val="single" w:color="auto" w:sz="4" w:space="0"/>
            </w:tcBorders>
            <w:vAlign w:val="center"/>
          </w:tcPr>
          <w:p w14:paraId="3A39B8ED">
            <w:pPr>
              <w:rPr>
                <w:rFonts w:hint="eastAsia" w:ascii="宋体" w:hAnsi="宋体" w:cs="宋体"/>
                <w:szCs w:val="21"/>
              </w:rPr>
            </w:pPr>
            <w:r>
              <w:rPr>
                <w:rFonts w:hint="eastAsia" w:ascii="宋体" w:hAnsi="宋体" w:cs="宋体"/>
                <w:szCs w:val="21"/>
              </w:rPr>
              <w:t>服务质量</w:t>
            </w:r>
          </w:p>
        </w:tc>
        <w:tc>
          <w:tcPr>
            <w:tcW w:w="6179" w:type="dxa"/>
            <w:tcBorders>
              <w:top w:val="single" w:color="auto" w:sz="4" w:space="0"/>
              <w:left w:val="single" w:color="auto" w:sz="4" w:space="0"/>
              <w:bottom w:val="single" w:color="auto" w:sz="4" w:space="0"/>
              <w:right w:val="single" w:color="auto" w:sz="4" w:space="0"/>
            </w:tcBorders>
            <w:vAlign w:val="center"/>
          </w:tcPr>
          <w:p w14:paraId="0DE48A2F">
            <w:pPr>
              <w:rPr>
                <w:rFonts w:hint="eastAsia" w:ascii="宋体" w:hAnsi="宋体" w:cs="宋体"/>
                <w:szCs w:val="21"/>
              </w:rPr>
            </w:pPr>
            <w:r>
              <w:rPr>
                <w:rFonts w:hint="eastAsia" w:ascii="宋体" w:hAnsi="宋体" w:cs="宋体"/>
                <w:szCs w:val="21"/>
              </w:rPr>
              <w:t>符合国家现行相关规范、规程、规定、标准要求</w:t>
            </w:r>
          </w:p>
        </w:tc>
      </w:tr>
      <w:tr w14:paraId="05682C9C">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4EA05D4">
            <w:pPr>
              <w:rPr>
                <w:rFonts w:hint="eastAsia" w:ascii="宋体" w:hAnsi="宋体" w:cs="宋体"/>
                <w:szCs w:val="21"/>
              </w:rPr>
            </w:pPr>
            <w:r>
              <w:rPr>
                <w:rFonts w:hint="eastAsia" w:ascii="宋体" w:hAnsi="宋体" w:cs="宋体"/>
                <w:szCs w:val="21"/>
              </w:rPr>
              <w:t>11</w:t>
            </w:r>
          </w:p>
        </w:tc>
        <w:tc>
          <w:tcPr>
            <w:tcW w:w="1985" w:type="dxa"/>
            <w:tcBorders>
              <w:top w:val="single" w:color="auto" w:sz="4" w:space="0"/>
              <w:left w:val="single" w:color="auto" w:sz="4" w:space="0"/>
              <w:bottom w:val="single" w:color="auto" w:sz="4" w:space="0"/>
              <w:right w:val="single" w:color="auto" w:sz="4" w:space="0"/>
            </w:tcBorders>
            <w:vAlign w:val="center"/>
          </w:tcPr>
          <w:p w14:paraId="72392ABA">
            <w:pPr>
              <w:rPr>
                <w:rFonts w:hint="eastAsia" w:ascii="宋体" w:hAnsi="宋体" w:cs="宋体"/>
                <w:szCs w:val="21"/>
                <w:highlight w:val="none"/>
              </w:rPr>
            </w:pPr>
            <w:r>
              <w:rPr>
                <w:rFonts w:hint="eastAsia" w:ascii="宋体" w:hAnsi="宋体" w:cs="宋体"/>
                <w:szCs w:val="21"/>
                <w:highlight w:val="none"/>
              </w:rPr>
              <w:t>运维服务期限</w:t>
            </w:r>
          </w:p>
        </w:tc>
        <w:tc>
          <w:tcPr>
            <w:tcW w:w="6179" w:type="dxa"/>
            <w:tcBorders>
              <w:top w:val="single" w:color="auto" w:sz="4" w:space="0"/>
              <w:left w:val="single" w:color="auto" w:sz="4" w:space="0"/>
              <w:bottom w:val="single" w:color="auto" w:sz="4" w:space="0"/>
              <w:right w:val="single" w:color="auto" w:sz="4" w:space="0"/>
            </w:tcBorders>
            <w:vAlign w:val="center"/>
          </w:tcPr>
          <w:p w14:paraId="078A26D7">
            <w:pPr>
              <w:rPr>
                <w:rFonts w:hint="eastAsia" w:ascii="宋体" w:hAnsi="宋体" w:cs="宋体"/>
                <w:szCs w:val="21"/>
                <w:highlight w:val="none"/>
              </w:rPr>
            </w:pPr>
            <w:r>
              <w:rPr>
                <w:rFonts w:hint="eastAsia" w:ascii="宋体" w:hAnsi="宋体" w:cs="宋体"/>
                <w:szCs w:val="21"/>
                <w:highlight w:val="none"/>
              </w:rPr>
              <w:t>三年</w:t>
            </w:r>
            <w:bookmarkStart w:id="9" w:name="OLE_LINK2"/>
            <w:r>
              <w:rPr>
                <w:rFonts w:hint="eastAsia" w:ascii="宋体" w:hAnsi="宋体" w:cs="宋体"/>
                <w:szCs w:val="21"/>
                <w:highlight w:val="none"/>
              </w:rPr>
              <w:t>（自交付使用之日起）</w:t>
            </w:r>
            <w:bookmarkEnd w:id="9"/>
          </w:p>
        </w:tc>
      </w:tr>
      <w:tr w14:paraId="7626C717">
        <w:tblPrEx>
          <w:tblCellMar>
            <w:top w:w="0" w:type="dxa"/>
            <w:left w:w="108" w:type="dxa"/>
            <w:bottom w:w="0" w:type="dxa"/>
            <w:right w:w="108" w:type="dxa"/>
          </w:tblCellMar>
        </w:tblPrEx>
        <w:trPr>
          <w:trHeight w:val="56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82CF7E6">
            <w:pPr>
              <w:rPr>
                <w:rFonts w:hint="eastAsia" w:ascii="宋体" w:hAnsi="宋体" w:cs="宋体"/>
                <w:szCs w:val="21"/>
              </w:rPr>
            </w:pPr>
            <w:r>
              <w:rPr>
                <w:rFonts w:hint="eastAsia" w:ascii="宋体" w:hAnsi="宋体" w:cs="宋体"/>
                <w:szCs w:val="21"/>
              </w:rPr>
              <w:t>12</w:t>
            </w:r>
          </w:p>
        </w:tc>
        <w:tc>
          <w:tcPr>
            <w:tcW w:w="1985" w:type="dxa"/>
            <w:tcBorders>
              <w:top w:val="single" w:color="auto" w:sz="4" w:space="0"/>
              <w:left w:val="single" w:color="auto" w:sz="4" w:space="0"/>
              <w:bottom w:val="single" w:color="auto" w:sz="4" w:space="0"/>
              <w:right w:val="single" w:color="auto" w:sz="4" w:space="0"/>
            </w:tcBorders>
            <w:vAlign w:val="center"/>
          </w:tcPr>
          <w:p w14:paraId="568F1CD3">
            <w:pPr>
              <w:rPr>
                <w:rFonts w:hint="eastAsia" w:ascii="宋体" w:hAnsi="宋体" w:cs="宋体"/>
                <w:szCs w:val="21"/>
              </w:rPr>
            </w:pPr>
            <w:r>
              <w:rPr>
                <w:rFonts w:hint="eastAsia" w:ascii="宋体" w:hAnsi="宋体" w:cs="宋体"/>
                <w:szCs w:val="21"/>
              </w:rPr>
              <w:t>投标人资格要求</w:t>
            </w:r>
          </w:p>
        </w:tc>
        <w:tc>
          <w:tcPr>
            <w:tcW w:w="6179" w:type="dxa"/>
            <w:tcBorders>
              <w:top w:val="single" w:color="auto" w:sz="4" w:space="0"/>
              <w:left w:val="single" w:color="auto" w:sz="4" w:space="0"/>
              <w:bottom w:val="single" w:color="auto" w:sz="4" w:space="0"/>
              <w:right w:val="single" w:color="auto" w:sz="4" w:space="0"/>
            </w:tcBorders>
            <w:vAlign w:val="center"/>
          </w:tcPr>
          <w:p w14:paraId="603B9840">
            <w:pPr>
              <w:rPr>
                <w:rFonts w:hint="eastAsia" w:ascii="宋体" w:hAnsi="宋体" w:cs="宋体"/>
                <w:szCs w:val="21"/>
              </w:rPr>
            </w:pPr>
            <w:r>
              <w:rPr>
                <w:rFonts w:hint="eastAsia" w:ascii="宋体" w:hAnsi="宋体" w:cs="宋体"/>
                <w:szCs w:val="21"/>
              </w:rPr>
              <w:t>详见招标公告</w:t>
            </w:r>
          </w:p>
        </w:tc>
      </w:tr>
      <w:tr w14:paraId="4CD9C77F">
        <w:tblPrEx>
          <w:tblCellMar>
            <w:top w:w="0" w:type="dxa"/>
            <w:left w:w="108" w:type="dxa"/>
            <w:bottom w:w="0" w:type="dxa"/>
            <w:right w:w="108" w:type="dxa"/>
          </w:tblCellMar>
        </w:tblPrEx>
        <w:trPr>
          <w:trHeight w:val="1706"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EA105C1">
            <w:pPr>
              <w:rPr>
                <w:rFonts w:hint="eastAsia" w:ascii="宋体" w:hAnsi="宋体" w:cs="宋体"/>
                <w:szCs w:val="21"/>
              </w:rPr>
            </w:pPr>
            <w:r>
              <w:rPr>
                <w:rFonts w:hint="eastAsia" w:ascii="宋体" w:hAnsi="宋体" w:cs="宋体"/>
                <w:szCs w:val="21"/>
              </w:rPr>
              <w:t>13</w:t>
            </w:r>
          </w:p>
        </w:tc>
        <w:tc>
          <w:tcPr>
            <w:tcW w:w="1985" w:type="dxa"/>
            <w:tcBorders>
              <w:top w:val="single" w:color="auto" w:sz="4" w:space="0"/>
              <w:left w:val="single" w:color="auto" w:sz="4" w:space="0"/>
              <w:bottom w:val="single" w:color="auto" w:sz="4" w:space="0"/>
              <w:right w:val="single" w:color="auto" w:sz="4" w:space="0"/>
            </w:tcBorders>
            <w:vAlign w:val="center"/>
          </w:tcPr>
          <w:p w14:paraId="1A469B1E">
            <w:pPr>
              <w:rPr>
                <w:rFonts w:hint="eastAsia" w:ascii="宋体" w:hAnsi="宋体" w:cs="宋体"/>
                <w:szCs w:val="21"/>
              </w:rPr>
            </w:pPr>
            <w:r>
              <w:rPr>
                <w:rFonts w:hint="eastAsia" w:ascii="宋体" w:hAnsi="宋体" w:cs="宋体"/>
                <w:szCs w:val="21"/>
              </w:rPr>
              <w:t>构成招标文件的其他材料</w:t>
            </w:r>
          </w:p>
        </w:tc>
        <w:tc>
          <w:tcPr>
            <w:tcW w:w="6179" w:type="dxa"/>
            <w:tcBorders>
              <w:top w:val="single" w:color="auto" w:sz="4" w:space="0"/>
              <w:left w:val="single" w:color="auto" w:sz="4" w:space="0"/>
              <w:bottom w:val="single" w:color="auto" w:sz="4" w:space="0"/>
              <w:right w:val="single" w:color="auto" w:sz="4" w:space="0"/>
            </w:tcBorders>
            <w:vAlign w:val="center"/>
          </w:tcPr>
          <w:p w14:paraId="4EB95BF4">
            <w:pPr>
              <w:rPr>
                <w:rFonts w:hint="eastAsia" w:ascii="宋体" w:hAnsi="宋体" w:cs="宋体"/>
                <w:szCs w:val="21"/>
              </w:rPr>
            </w:pPr>
            <w:r>
              <w:rPr>
                <w:rFonts w:hint="eastAsia" w:ascii="宋体" w:hAnsi="宋体" w:cs="宋体"/>
                <w:szCs w:val="21"/>
              </w:rPr>
              <w:t>采购人或采购代理机构发出的补遗书和其他正式有效函件，包括答疑、澄清、补充或解释等文件均作为招标文件的组成部分，具有同样的约束作用。当招标文件的答疑、澄清、补充或解释等文件的内容在同一内容的表述上不一致时，以最后在电子交易系统中发出的招标文件为准。</w:t>
            </w:r>
          </w:p>
        </w:tc>
      </w:tr>
      <w:tr w14:paraId="2F79AC5E">
        <w:tblPrEx>
          <w:tblCellMar>
            <w:top w:w="0" w:type="dxa"/>
            <w:left w:w="108" w:type="dxa"/>
            <w:bottom w:w="0" w:type="dxa"/>
            <w:right w:w="108" w:type="dxa"/>
          </w:tblCellMar>
        </w:tblPrEx>
        <w:trPr>
          <w:trHeight w:val="55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85332E1">
            <w:pPr>
              <w:rPr>
                <w:rFonts w:hint="eastAsia" w:ascii="宋体" w:hAnsi="宋体" w:cs="宋体"/>
                <w:szCs w:val="21"/>
              </w:rPr>
            </w:pPr>
            <w:r>
              <w:rPr>
                <w:rFonts w:hint="eastAsia" w:ascii="宋体" w:hAnsi="宋体" w:cs="宋体"/>
                <w:szCs w:val="21"/>
              </w:rPr>
              <w:t>14</w:t>
            </w:r>
          </w:p>
        </w:tc>
        <w:tc>
          <w:tcPr>
            <w:tcW w:w="1985" w:type="dxa"/>
            <w:tcBorders>
              <w:top w:val="single" w:color="auto" w:sz="4" w:space="0"/>
              <w:left w:val="single" w:color="auto" w:sz="4" w:space="0"/>
              <w:bottom w:val="single" w:color="auto" w:sz="4" w:space="0"/>
              <w:right w:val="single" w:color="auto" w:sz="4" w:space="0"/>
            </w:tcBorders>
            <w:vAlign w:val="center"/>
          </w:tcPr>
          <w:p w14:paraId="5290B438">
            <w:pPr>
              <w:rPr>
                <w:rFonts w:hint="eastAsia" w:ascii="宋体" w:hAnsi="宋体" w:cs="宋体"/>
                <w:color w:val="auto"/>
                <w:szCs w:val="21"/>
                <w:highlight w:val="none"/>
              </w:rPr>
            </w:pPr>
            <w:r>
              <w:rPr>
                <w:rFonts w:hint="eastAsia" w:ascii="宋体" w:hAnsi="宋体" w:cs="宋体"/>
                <w:color w:val="auto"/>
                <w:szCs w:val="21"/>
                <w:highlight w:val="none"/>
              </w:rPr>
              <w:t>投标截止时间</w:t>
            </w:r>
          </w:p>
        </w:tc>
        <w:tc>
          <w:tcPr>
            <w:tcW w:w="6179" w:type="dxa"/>
            <w:tcBorders>
              <w:top w:val="single" w:color="auto" w:sz="4" w:space="0"/>
              <w:left w:val="single" w:color="auto" w:sz="4" w:space="0"/>
              <w:bottom w:val="single" w:color="auto" w:sz="4" w:space="0"/>
              <w:right w:val="single" w:color="auto" w:sz="4" w:space="0"/>
            </w:tcBorders>
            <w:vAlign w:val="center"/>
          </w:tcPr>
          <w:p w14:paraId="7F16A1C8">
            <w:pPr>
              <w:rPr>
                <w:rFonts w:hint="eastAsia" w:ascii="宋体" w:hAnsi="宋体" w:cs="宋体"/>
                <w:color w:val="auto"/>
                <w:szCs w:val="21"/>
                <w:highlight w:val="none"/>
              </w:rPr>
            </w:pPr>
            <w:r>
              <w:rPr>
                <w:rFonts w:hint="eastAsia" w:ascii="宋体" w:hAnsi="宋体" w:cs="宋体"/>
                <w:color w:val="auto"/>
                <w:szCs w:val="21"/>
                <w:highlight w:val="none"/>
              </w:rPr>
              <w:t>2026年9月9日9时00分（北京时间）</w:t>
            </w:r>
          </w:p>
        </w:tc>
      </w:tr>
      <w:tr w14:paraId="650BBC6D">
        <w:tblPrEx>
          <w:tblCellMar>
            <w:top w:w="0" w:type="dxa"/>
            <w:left w:w="108" w:type="dxa"/>
            <w:bottom w:w="0" w:type="dxa"/>
            <w:right w:w="108" w:type="dxa"/>
          </w:tblCellMar>
        </w:tblPrEx>
        <w:trPr>
          <w:trHeight w:val="52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F2FF47E">
            <w:pPr>
              <w:rPr>
                <w:rFonts w:hint="eastAsia" w:ascii="宋体" w:hAnsi="宋体" w:cs="宋体"/>
                <w:szCs w:val="21"/>
              </w:rPr>
            </w:pPr>
            <w:r>
              <w:rPr>
                <w:rFonts w:hint="eastAsia" w:ascii="宋体" w:hAnsi="宋体" w:cs="宋体"/>
                <w:szCs w:val="21"/>
              </w:rPr>
              <w:t>15</w:t>
            </w:r>
          </w:p>
        </w:tc>
        <w:tc>
          <w:tcPr>
            <w:tcW w:w="1985" w:type="dxa"/>
            <w:tcBorders>
              <w:top w:val="single" w:color="auto" w:sz="4" w:space="0"/>
              <w:left w:val="single" w:color="auto" w:sz="4" w:space="0"/>
              <w:bottom w:val="single" w:color="auto" w:sz="4" w:space="0"/>
              <w:right w:val="single" w:color="auto" w:sz="4" w:space="0"/>
            </w:tcBorders>
            <w:vAlign w:val="center"/>
          </w:tcPr>
          <w:p w14:paraId="4C98DF4F">
            <w:pPr>
              <w:rPr>
                <w:rFonts w:hint="eastAsia" w:ascii="宋体" w:hAnsi="宋体" w:cs="宋体"/>
                <w:szCs w:val="21"/>
              </w:rPr>
            </w:pPr>
            <w:r>
              <w:rPr>
                <w:rFonts w:hint="eastAsia" w:ascii="宋体" w:hAnsi="宋体" w:cs="宋体"/>
                <w:szCs w:val="21"/>
              </w:rPr>
              <w:t>投标有效期</w:t>
            </w:r>
          </w:p>
        </w:tc>
        <w:tc>
          <w:tcPr>
            <w:tcW w:w="6179" w:type="dxa"/>
            <w:tcBorders>
              <w:top w:val="single" w:color="auto" w:sz="4" w:space="0"/>
              <w:left w:val="single" w:color="auto" w:sz="4" w:space="0"/>
              <w:bottom w:val="single" w:color="auto" w:sz="4" w:space="0"/>
              <w:right w:val="single" w:color="auto" w:sz="4" w:space="0"/>
            </w:tcBorders>
            <w:vAlign w:val="center"/>
          </w:tcPr>
          <w:p w14:paraId="40660EE2">
            <w:pPr>
              <w:rPr>
                <w:rFonts w:hint="eastAsia" w:ascii="宋体" w:hAnsi="宋体" w:cs="宋体"/>
                <w:szCs w:val="21"/>
              </w:rPr>
            </w:pPr>
            <w:r>
              <w:rPr>
                <w:rFonts w:hint="eastAsia" w:ascii="宋体" w:hAnsi="宋体" w:cs="宋体"/>
                <w:szCs w:val="21"/>
              </w:rPr>
              <w:t>投标文件递交截止之日起90日历天</w:t>
            </w:r>
          </w:p>
        </w:tc>
      </w:tr>
      <w:tr w14:paraId="1539FDCE">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4981ADE8">
            <w:pPr>
              <w:rPr>
                <w:rFonts w:hint="eastAsia" w:ascii="宋体" w:hAnsi="宋体" w:cs="宋体"/>
                <w:szCs w:val="21"/>
              </w:rPr>
            </w:pPr>
            <w:r>
              <w:rPr>
                <w:rFonts w:hint="eastAsia" w:ascii="宋体" w:hAnsi="宋体" w:cs="宋体"/>
                <w:szCs w:val="21"/>
              </w:rPr>
              <w:t>16</w:t>
            </w:r>
          </w:p>
        </w:tc>
        <w:tc>
          <w:tcPr>
            <w:tcW w:w="1985" w:type="dxa"/>
            <w:tcBorders>
              <w:top w:val="single" w:color="auto" w:sz="4" w:space="0"/>
              <w:left w:val="single" w:color="auto" w:sz="4" w:space="0"/>
              <w:bottom w:val="single" w:color="auto" w:sz="4" w:space="0"/>
              <w:right w:val="single" w:color="auto" w:sz="4" w:space="0"/>
            </w:tcBorders>
            <w:vAlign w:val="center"/>
          </w:tcPr>
          <w:p w14:paraId="0DFC539B">
            <w:pPr>
              <w:rPr>
                <w:rFonts w:hint="eastAsia" w:ascii="宋体" w:hAnsi="宋体" w:cs="宋体"/>
                <w:szCs w:val="21"/>
              </w:rPr>
            </w:pPr>
            <w:r>
              <w:rPr>
                <w:rFonts w:hint="eastAsia" w:ascii="宋体" w:hAnsi="宋体" w:cs="宋体"/>
                <w:szCs w:val="21"/>
              </w:rPr>
              <w:t>投标保证金</w:t>
            </w:r>
          </w:p>
        </w:tc>
        <w:tc>
          <w:tcPr>
            <w:tcW w:w="6179" w:type="dxa"/>
            <w:tcBorders>
              <w:top w:val="single" w:color="auto" w:sz="4" w:space="0"/>
              <w:left w:val="single" w:color="auto" w:sz="4" w:space="0"/>
              <w:bottom w:val="single" w:color="auto" w:sz="4" w:space="0"/>
              <w:right w:val="single" w:color="auto" w:sz="4" w:space="0"/>
            </w:tcBorders>
            <w:vAlign w:val="center"/>
          </w:tcPr>
          <w:p w14:paraId="660F41D9">
            <w:pPr>
              <w:rPr>
                <w:rFonts w:hint="eastAsia" w:ascii="宋体" w:hAnsi="宋体" w:cs="宋体"/>
                <w:szCs w:val="21"/>
              </w:rPr>
            </w:pPr>
            <w:r>
              <w:rPr>
                <w:rFonts w:hint="eastAsia" w:ascii="宋体" w:hAnsi="宋体" w:cs="宋体"/>
                <w:szCs w:val="21"/>
              </w:rPr>
              <w:t>本项目不收取投标保证金</w:t>
            </w:r>
          </w:p>
        </w:tc>
      </w:tr>
      <w:tr w14:paraId="1AA86EEE">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F893275">
            <w:pPr>
              <w:rPr>
                <w:rFonts w:hint="eastAsia" w:ascii="宋体" w:hAnsi="宋体" w:cs="宋体"/>
                <w:szCs w:val="21"/>
              </w:rPr>
            </w:pPr>
            <w:r>
              <w:rPr>
                <w:rFonts w:hint="eastAsia" w:ascii="宋体" w:hAnsi="宋体" w:cs="宋体"/>
                <w:szCs w:val="21"/>
              </w:rPr>
              <w:t>17</w:t>
            </w:r>
          </w:p>
        </w:tc>
        <w:tc>
          <w:tcPr>
            <w:tcW w:w="1985" w:type="dxa"/>
            <w:tcBorders>
              <w:top w:val="single" w:color="auto" w:sz="4" w:space="0"/>
              <w:left w:val="single" w:color="auto" w:sz="4" w:space="0"/>
              <w:bottom w:val="single" w:color="auto" w:sz="4" w:space="0"/>
              <w:right w:val="single" w:color="auto" w:sz="4" w:space="0"/>
            </w:tcBorders>
            <w:vAlign w:val="center"/>
          </w:tcPr>
          <w:p w14:paraId="0904B14B">
            <w:pPr>
              <w:rPr>
                <w:rFonts w:hint="eastAsia" w:ascii="宋体" w:hAnsi="宋体" w:cs="宋体"/>
                <w:szCs w:val="21"/>
              </w:rPr>
            </w:pPr>
            <w:r>
              <w:rPr>
                <w:rFonts w:hint="eastAsia" w:ascii="宋体" w:hAnsi="宋体" w:cs="宋体"/>
                <w:szCs w:val="21"/>
              </w:rPr>
              <w:t>履约保证金</w:t>
            </w:r>
          </w:p>
        </w:tc>
        <w:tc>
          <w:tcPr>
            <w:tcW w:w="6179" w:type="dxa"/>
            <w:tcBorders>
              <w:top w:val="single" w:color="auto" w:sz="4" w:space="0"/>
              <w:left w:val="single" w:color="auto" w:sz="4" w:space="0"/>
              <w:bottom w:val="single" w:color="auto" w:sz="4" w:space="0"/>
              <w:right w:val="single" w:color="auto" w:sz="4" w:space="0"/>
            </w:tcBorders>
            <w:vAlign w:val="center"/>
          </w:tcPr>
          <w:p w14:paraId="6199138F">
            <w:pPr>
              <w:rPr>
                <w:rFonts w:hint="eastAsia" w:ascii="宋体" w:hAnsi="宋体" w:cs="宋体"/>
                <w:szCs w:val="21"/>
              </w:rPr>
            </w:pPr>
            <w:r>
              <w:rPr>
                <w:rFonts w:hint="eastAsia" w:ascii="宋体" w:hAnsi="宋体" w:cs="宋体"/>
                <w:szCs w:val="21"/>
              </w:rPr>
              <w:t>本项目不收取履约保证金</w:t>
            </w:r>
          </w:p>
        </w:tc>
      </w:tr>
      <w:tr w14:paraId="5B678E5A">
        <w:tblPrEx>
          <w:tblCellMar>
            <w:top w:w="0" w:type="dxa"/>
            <w:left w:w="108" w:type="dxa"/>
            <w:bottom w:w="0" w:type="dxa"/>
            <w:right w:w="108" w:type="dxa"/>
          </w:tblCellMar>
        </w:tblPrEx>
        <w:trPr>
          <w:trHeight w:val="463"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01E36AA">
            <w:pPr>
              <w:rPr>
                <w:rFonts w:hint="eastAsia" w:ascii="宋体" w:hAnsi="宋体" w:cs="宋体"/>
                <w:szCs w:val="21"/>
              </w:rPr>
            </w:pPr>
            <w:r>
              <w:rPr>
                <w:rFonts w:hint="eastAsia" w:ascii="宋体" w:hAnsi="宋体" w:cs="宋体"/>
                <w:szCs w:val="21"/>
              </w:rPr>
              <w:t>18</w:t>
            </w:r>
          </w:p>
        </w:tc>
        <w:tc>
          <w:tcPr>
            <w:tcW w:w="1985" w:type="dxa"/>
            <w:tcBorders>
              <w:top w:val="single" w:color="auto" w:sz="4" w:space="0"/>
              <w:left w:val="single" w:color="auto" w:sz="4" w:space="0"/>
              <w:bottom w:val="single" w:color="auto" w:sz="4" w:space="0"/>
              <w:right w:val="single" w:color="auto" w:sz="4" w:space="0"/>
            </w:tcBorders>
            <w:vAlign w:val="center"/>
          </w:tcPr>
          <w:p w14:paraId="748EE317">
            <w:pPr>
              <w:rPr>
                <w:rFonts w:hint="eastAsia" w:ascii="宋体" w:hAnsi="宋体" w:cs="宋体"/>
                <w:szCs w:val="21"/>
              </w:rPr>
            </w:pPr>
            <w:r>
              <w:rPr>
                <w:rFonts w:hint="eastAsia" w:ascii="宋体" w:hAnsi="宋体" w:cs="宋体"/>
                <w:szCs w:val="21"/>
              </w:rPr>
              <w:t>是否允许递交备选投标方案</w:t>
            </w:r>
          </w:p>
        </w:tc>
        <w:tc>
          <w:tcPr>
            <w:tcW w:w="6179" w:type="dxa"/>
            <w:tcBorders>
              <w:top w:val="single" w:color="auto" w:sz="4" w:space="0"/>
              <w:left w:val="single" w:color="auto" w:sz="4" w:space="0"/>
              <w:bottom w:val="single" w:color="auto" w:sz="4" w:space="0"/>
              <w:right w:val="single" w:color="auto" w:sz="4" w:space="0"/>
            </w:tcBorders>
            <w:vAlign w:val="center"/>
          </w:tcPr>
          <w:p w14:paraId="2AB84930">
            <w:pPr>
              <w:rPr>
                <w:rFonts w:hint="eastAsia" w:ascii="宋体" w:hAnsi="宋体" w:cs="宋体"/>
                <w:szCs w:val="21"/>
              </w:rPr>
            </w:pPr>
            <w:r>
              <w:rPr>
                <w:rFonts w:hint="eastAsia" w:ascii="宋体" w:hAnsi="宋体" w:cs="宋体"/>
                <w:szCs w:val="21"/>
              </w:rPr>
              <w:t>不允许</w:t>
            </w:r>
          </w:p>
        </w:tc>
      </w:tr>
      <w:tr w14:paraId="039A7B2A">
        <w:tblPrEx>
          <w:tblCellMar>
            <w:top w:w="0" w:type="dxa"/>
            <w:left w:w="108" w:type="dxa"/>
            <w:bottom w:w="0" w:type="dxa"/>
            <w:right w:w="108" w:type="dxa"/>
          </w:tblCellMar>
        </w:tblPrEx>
        <w:trPr>
          <w:jc w:val="center"/>
        </w:trPr>
        <w:tc>
          <w:tcPr>
            <w:tcW w:w="1078" w:type="dxa"/>
            <w:tcBorders>
              <w:top w:val="single" w:color="auto" w:sz="4" w:space="0"/>
              <w:left w:val="single" w:color="auto" w:sz="4" w:space="0"/>
              <w:bottom w:val="single" w:color="auto" w:sz="4" w:space="0"/>
              <w:right w:val="single" w:color="auto" w:sz="4" w:space="0"/>
            </w:tcBorders>
            <w:vAlign w:val="center"/>
          </w:tcPr>
          <w:p w14:paraId="6DA78BA6">
            <w:pPr>
              <w:rPr>
                <w:rFonts w:hint="eastAsia" w:ascii="宋体" w:hAnsi="宋体" w:cs="宋体"/>
                <w:szCs w:val="21"/>
              </w:rPr>
            </w:pPr>
            <w:r>
              <w:rPr>
                <w:rFonts w:hint="eastAsia" w:ascii="宋体" w:hAnsi="宋体" w:cs="宋体"/>
                <w:szCs w:val="21"/>
              </w:rPr>
              <w:t>19</w:t>
            </w:r>
          </w:p>
        </w:tc>
        <w:tc>
          <w:tcPr>
            <w:tcW w:w="1985" w:type="dxa"/>
            <w:tcBorders>
              <w:top w:val="single" w:color="auto" w:sz="4" w:space="0"/>
              <w:left w:val="single" w:color="auto" w:sz="4" w:space="0"/>
              <w:bottom w:val="single" w:color="auto" w:sz="4" w:space="0"/>
              <w:right w:val="single" w:color="auto" w:sz="4" w:space="0"/>
            </w:tcBorders>
            <w:vAlign w:val="center"/>
          </w:tcPr>
          <w:p w14:paraId="50B89930">
            <w:pPr>
              <w:rPr>
                <w:rFonts w:hint="eastAsia" w:ascii="宋体" w:hAnsi="宋体" w:cs="宋体"/>
                <w:szCs w:val="21"/>
              </w:rPr>
            </w:pPr>
            <w:r>
              <w:rPr>
                <w:rFonts w:hint="eastAsia" w:ascii="宋体" w:hAnsi="宋体" w:cs="宋体"/>
                <w:szCs w:val="21"/>
              </w:rPr>
              <w:t>语言文字</w:t>
            </w:r>
          </w:p>
        </w:tc>
        <w:tc>
          <w:tcPr>
            <w:tcW w:w="6179" w:type="dxa"/>
            <w:tcBorders>
              <w:top w:val="single" w:color="auto" w:sz="4" w:space="0"/>
              <w:left w:val="single" w:color="auto" w:sz="4" w:space="0"/>
              <w:bottom w:val="single" w:color="auto" w:sz="4" w:space="0"/>
              <w:right w:val="single" w:color="auto" w:sz="4" w:space="0"/>
            </w:tcBorders>
            <w:vAlign w:val="center"/>
          </w:tcPr>
          <w:p w14:paraId="7A4E242B">
            <w:pPr>
              <w:rPr>
                <w:rFonts w:hint="eastAsia" w:ascii="宋体" w:hAnsi="宋体" w:cs="宋体"/>
                <w:szCs w:val="21"/>
              </w:rPr>
            </w:pPr>
            <w:r>
              <w:rPr>
                <w:rFonts w:hint="eastAsia" w:ascii="宋体" w:hAnsi="宋体" w:cs="宋体"/>
                <w:szCs w:val="21"/>
              </w:rPr>
              <w:t>投标文件用的语言文字为简体中文。专用术语使用外文的，应附有中文注释。</w:t>
            </w:r>
          </w:p>
        </w:tc>
      </w:tr>
      <w:tr w14:paraId="6CD695F7">
        <w:tblPrEx>
          <w:tblCellMar>
            <w:top w:w="0" w:type="dxa"/>
            <w:left w:w="108" w:type="dxa"/>
            <w:bottom w:w="0" w:type="dxa"/>
            <w:right w:w="108" w:type="dxa"/>
          </w:tblCellMar>
        </w:tblPrEx>
        <w:trPr>
          <w:trHeight w:val="539"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A32F3A4">
            <w:pPr>
              <w:rPr>
                <w:rFonts w:hint="eastAsia" w:ascii="宋体" w:hAnsi="宋体" w:cs="宋体"/>
                <w:szCs w:val="21"/>
              </w:rPr>
            </w:pPr>
            <w:r>
              <w:rPr>
                <w:rFonts w:hint="eastAsia" w:ascii="宋体" w:hAnsi="宋体" w:cs="宋体"/>
                <w:szCs w:val="21"/>
              </w:rPr>
              <w:t>20</w:t>
            </w:r>
          </w:p>
        </w:tc>
        <w:tc>
          <w:tcPr>
            <w:tcW w:w="1985" w:type="dxa"/>
            <w:tcBorders>
              <w:top w:val="single" w:color="auto" w:sz="4" w:space="0"/>
              <w:left w:val="single" w:color="auto" w:sz="4" w:space="0"/>
              <w:bottom w:val="single" w:color="auto" w:sz="4" w:space="0"/>
              <w:right w:val="single" w:color="auto" w:sz="4" w:space="0"/>
            </w:tcBorders>
            <w:vAlign w:val="center"/>
          </w:tcPr>
          <w:p w14:paraId="2446079A">
            <w:pPr>
              <w:rPr>
                <w:rFonts w:hint="eastAsia" w:ascii="宋体" w:hAnsi="宋体" w:cs="宋体"/>
                <w:szCs w:val="21"/>
              </w:rPr>
            </w:pPr>
            <w:r>
              <w:rPr>
                <w:rFonts w:hint="eastAsia" w:ascii="宋体" w:hAnsi="宋体" w:cs="宋体"/>
                <w:szCs w:val="21"/>
              </w:rPr>
              <w:t>计量单位</w:t>
            </w:r>
          </w:p>
        </w:tc>
        <w:tc>
          <w:tcPr>
            <w:tcW w:w="6179" w:type="dxa"/>
            <w:tcBorders>
              <w:top w:val="single" w:color="auto" w:sz="4" w:space="0"/>
              <w:left w:val="single" w:color="auto" w:sz="4" w:space="0"/>
              <w:bottom w:val="single" w:color="auto" w:sz="4" w:space="0"/>
              <w:right w:val="single" w:color="auto" w:sz="4" w:space="0"/>
            </w:tcBorders>
            <w:vAlign w:val="center"/>
          </w:tcPr>
          <w:p w14:paraId="0630F792">
            <w:pPr>
              <w:rPr>
                <w:rFonts w:hint="eastAsia" w:ascii="宋体" w:hAnsi="宋体" w:cs="宋体"/>
                <w:szCs w:val="21"/>
              </w:rPr>
            </w:pPr>
            <w:r>
              <w:rPr>
                <w:rFonts w:hint="eastAsia" w:ascii="宋体" w:hAnsi="宋体" w:cs="宋体"/>
                <w:szCs w:val="21"/>
              </w:rPr>
              <w:t>所有计量均采用中华人民共和国法定计量单位</w:t>
            </w:r>
          </w:p>
        </w:tc>
      </w:tr>
      <w:tr w14:paraId="331A5D97">
        <w:tblPrEx>
          <w:tblCellMar>
            <w:top w:w="0" w:type="dxa"/>
            <w:left w:w="108" w:type="dxa"/>
            <w:bottom w:w="0" w:type="dxa"/>
            <w:right w:w="108" w:type="dxa"/>
          </w:tblCellMar>
        </w:tblPrEx>
        <w:trPr>
          <w:trHeight w:val="629"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7CF47EDE">
            <w:pPr>
              <w:rPr>
                <w:rFonts w:hint="eastAsia" w:ascii="宋体" w:hAnsi="宋体" w:cs="宋体"/>
                <w:szCs w:val="21"/>
              </w:rPr>
            </w:pPr>
            <w:r>
              <w:rPr>
                <w:rFonts w:hint="eastAsia" w:ascii="宋体" w:hAnsi="宋体" w:cs="宋体"/>
                <w:szCs w:val="21"/>
              </w:rPr>
              <w:t>21</w:t>
            </w:r>
          </w:p>
        </w:tc>
        <w:tc>
          <w:tcPr>
            <w:tcW w:w="1985" w:type="dxa"/>
            <w:tcBorders>
              <w:top w:val="single" w:color="auto" w:sz="4" w:space="0"/>
              <w:left w:val="single" w:color="auto" w:sz="4" w:space="0"/>
              <w:bottom w:val="single" w:color="auto" w:sz="4" w:space="0"/>
              <w:right w:val="single" w:color="auto" w:sz="4" w:space="0"/>
            </w:tcBorders>
            <w:vAlign w:val="center"/>
          </w:tcPr>
          <w:p w14:paraId="084627DD">
            <w:pPr>
              <w:rPr>
                <w:rFonts w:hint="eastAsia" w:ascii="宋体" w:hAnsi="宋体" w:cs="宋体"/>
                <w:szCs w:val="21"/>
              </w:rPr>
            </w:pPr>
            <w:r>
              <w:rPr>
                <w:rFonts w:hint="eastAsia" w:ascii="宋体" w:hAnsi="宋体" w:cs="宋体"/>
                <w:szCs w:val="21"/>
              </w:rPr>
              <w:t>签字和（或）盖章要求</w:t>
            </w:r>
          </w:p>
        </w:tc>
        <w:tc>
          <w:tcPr>
            <w:tcW w:w="6179" w:type="dxa"/>
            <w:tcBorders>
              <w:top w:val="single" w:color="auto" w:sz="4" w:space="0"/>
              <w:left w:val="single" w:color="auto" w:sz="4" w:space="0"/>
              <w:bottom w:val="single" w:color="auto" w:sz="4" w:space="0"/>
              <w:right w:val="single" w:color="auto" w:sz="4" w:space="0"/>
            </w:tcBorders>
            <w:vAlign w:val="center"/>
          </w:tcPr>
          <w:p w14:paraId="605CE6F7">
            <w:pPr>
              <w:rPr>
                <w:rFonts w:hint="eastAsia" w:ascii="宋体" w:hAnsi="宋体" w:cs="宋体"/>
                <w:szCs w:val="21"/>
              </w:rPr>
            </w:pPr>
            <w:r>
              <w:rPr>
                <w:rFonts w:hint="eastAsia" w:ascii="宋体" w:hAnsi="宋体" w:cs="宋体"/>
                <w:szCs w:val="21"/>
              </w:rPr>
              <w:t>符合“第六章 投标文件格式”要求</w:t>
            </w:r>
          </w:p>
        </w:tc>
      </w:tr>
      <w:tr w14:paraId="00D0C056">
        <w:tblPrEx>
          <w:tblCellMar>
            <w:top w:w="0" w:type="dxa"/>
            <w:left w:w="108" w:type="dxa"/>
            <w:bottom w:w="0" w:type="dxa"/>
            <w:right w:w="108" w:type="dxa"/>
          </w:tblCellMar>
        </w:tblPrEx>
        <w:trPr>
          <w:trHeight w:val="754"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3BC39ED">
            <w:pPr>
              <w:rPr>
                <w:rFonts w:hint="eastAsia" w:ascii="宋体" w:hAnsi="宋体" w:cs="宋体"/>
                <w:szCs w:val="21"/>
              </w:rPr>
            </w:pPr>
            <w:r>
              <w:rPr>
                <w:rFonts w:hint="eastAsia" w:ascii="宋体" w:hAnsi="宋体" w:cs="宋体"/>
                <w:szCs w:val="21"/>
              </w:rPr>
              <w:t>22</w:t>
            </w:r>
          </w:p>
        </w:tc>
        <w:tc>
          <w:tcPr>
            <w:tcW w:w="1985" w:type="dxa"/>
            <w:tcBorders>
              <w:top w:val="single" w:color="auto" w:sz="4" w:space="0"/>
              <w:left w:val="single" w:color="auto" w:sz="4" w:space="0"/>
              <w:bottom w:val="single" w:color="auto" w:sz="4" w:space="0"/>
              <w:right w:val="single" w:color="auto" w:sz="4" w:space="0"/>
            </w:tcBorders>
            <w:vAlign w:val="center"/>
          </w:tcPr>
          <w:p w14:paraId="0FEEB5CB">
            <w:pPr>
              <w:rPr>
                <w:rFonts w:hint="eastAsia" w:ascii="宋体" w:hAnsi="宋体" w:cs="宋体"/>
                <w:szCs w:val="21"/>
              </w:rPr>
            </w:pPr>
            <w:r>
              <w:rPr>
                <w:rFonts w:hint="eastAsia" w:ascii="宋体" w:hAnsi="宋体" w:cs="宋体"/>
                <w:szCs w:val="21"/>
              </w:rPr>
              <w:t>开标时间和地点</w:t>
            </w:r>
          </w:p>
        </w:tc>
        <w:tc>
          <w:tcPr>
            <w:tcW w:w="6179" w:type="dxa"/>
            <w:tcBorders>
              <w:top w:val="single" w:color="auto" w:sz="4" w:space="0"/>
              <w:left w:val="single" w:color="auto" w:sz="4" w:space="0"/>
              <w:bottom w:val="single" w:color="auto" w:sz="4" w:space="0"/>
              <w:right w:val="single" w:color="auto" w:sz="4" w:space="0"/>
            </w:tcBorders>
            <w:vAlign w:val="center"/>
          </w:tcPr>
          <w:p w14:paraId="4A884D5C">
            <w:pPr>
              <w:rPr>
                <w:rFonts w:hint="eastAsia" w:ascii="宋体" w:hAnsi="宋体" w:cs="宋体"/>
                <w:szCs w:val="21"/>
              </w:rPr>
            </w:pPr>
            <w:r>
              <w:rPr>
                <w:rFonts w:hint="eastAsia" w:ascii="宋体" w:hAnsi="宋体" w:cs="宋体"/>
                <w:szCs w:val="21"/>
              </w:rPr>
              <w:t>开标时间：同投标文件递交截止时间</w:t>
            </w:r>
          </w:p>
          <w:p w14:paraId="4FA7F6C6">
            <w:pPr>
              <w:rPr>
                <w:rFonts w:hint="eastAsia" w:ascii="宋体" w:hAnsi="宋体" w:cs="宋体"/>
                <w:szCs w:val="21"/>
              </w:rPr>
            </w:pPr>
            <w:r>
              <w:rPr>
                <w:rFonts w:hint="eastAsia" w:ascii="宋体" w:hAnsi="宋体" w:cs="宋体"/>
                <w:szCs w:val="21"/>
              </w:rPr>
              <w:t>开标地点：同投标文件递交地点</w:t>
            </w:r>
          </w:p>
        </w:tc>
      </w:tr>
      <w:tr w14:paraId="37B7EA42">
        <w:tblPrEx>
          <w:tblCellMar>
            <w:top w:w="0" w:type="dxa"/>
            <w:left w:w="108" w:type="dxa"/>
            <w:bottom w:w="0" w:type="dxa"/>
            <w:right w:w="108" w:type="dxa"/>
          </w:tblCellMar>
        </w:tblPrEx>
        <w:trPr>
          <w:trHeight w:val="42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0403C38">
            <w:pPr>
              <w:rPr>
                <w:rFonts w:hint="eastAsia" w:ascii="宋体" w:hAnsi="宋体" w:cs="宋体"/>
                <w:szCs w:val="21"/>
              </w:rPr>
            </w:pPr>
            <w:r>
              <w:rPr>
                <w:rFonts w:hint="eastAsia" w:ascii="宋体" w:hAnsi="宋体" w:cs="宋体"/>
                <w:szCs w:val="21"/>
              </w:rPr>
              <w:t>23</w:t>
            </w:r>
          </w:p>
        </w:tc>
        <w:tc>
          <w:tcPr>
            <w:tcW w:w="1985" w:type="dxa"/>
            <w:tcBorders>
              <w:top w:val="single" w:color="auto" w:sz="4" w:space="0"/>
              <w:left w:val="single" w:color="auto" w:sz="4" w:space="0"/>
              <w:bottom w:val="single" w:color="auto" w:sz="4" w:space="0"/>
              <w:right w:val="single" w:color="auto" w:sz="4" w:space="0"/>
            </w:tcBorders>
            <w:vAlign w:val="center"/>
          </w:tcPr>
          <w:p w14:paraId="45F93E73">
            <w:pPr>
              <w:rPr>
                <w:rFonts w:hint="eastAsia" w:ascii="宋体" w:hAnsi="宋体" w:cs="宋体"/>
                <w:szCs w:val="21"/>
              </w:rPr>
            </w:pPr>
            <w:r>
              <w:rPr>
                <w:rFonts w:hint="eastAsia" w:ascii="宋体" w:hAnsi="宋体" w:cs="宋体"/>
                <w:szCs w:val="21"/>
              </w:rPr>
              <w:t>评标委员会的组建</w:t>
            </w:r>
          </w:p>
        </w:tc>
        <w:tc>
          <w:tcPr>
            <w:tcW w:w="6179" w:type="dxa"/>
            <w:tcBorders>
              <w:top w:val="single" w:color="auto" w:sz="4" w:space="0"/>
              <w:left w:val="single" w:color="auto" w:sz="4" w:space="0"/>
              <w:bottom w:val="single" w:color="auto" w:sz="4" w:space="0"/>
              <w:right w:val="single" w:color="auto" w:sz="4" w:space="0"/>
            </w:tcBorders>
            <w:vAlign w:val="center"/>
          </w:tcPr>
          <w:p w14:paraId="3B38E588">
            <w:pPr>
              <w:rPr>
                <w:rFonts w:hint="eastAsia" w:ascii="宋体" w:hAnsi="宋体" w:cs="宋体"/>
                <w:szCs w:val="21"/>
              </w:rPr>
            </w:pPr>
            <w:r>
              <w:rPr>
                <w:rFonts w:hint="eastAsia" w:ascii="宋体" w:hAnsi="宋体" w:cs="宋体"/>
                <w:szCs w:val="21"/>
              </w:rPr>
              <w:t>评标专家小组构成：</w:t>
            </w:r>
          </w:p>
          <w:p w14:paraId="0894EECF">
            <w:pPr>
              <w:rPr>
                <w:rFonts w:hint="eastAsia" w:ascii="宋体" w:hAnsi="宋体" w:cs="宋体"/>
                <w:szCs w:val="21"/>
              </w:rPr>
            </w:pPr>
            <w:r>
              <w:rPr>
                <w:rFonts w:hint="eastAsia" w:ascii="宋体" w:hAnsi="宋体" w:cs="宋体"/>
                <w:szCs w:val="21"/>
              </w:rPr>
              <w:t>采购人代表和评审专家共5人以上单数组成，其中评审专家人数不得少于评标小组成员总数的2/3。</w:t>
            </w:r>
          </w:p>
          <w:p w14:paraId="1A1BFB40">
            <w:pPr>
              <w:rPr>
                <w:rFonts w:hint="eastAsia" w:ascii="宋体" w:hAnsi="宋体" w:cs="宋体"/>
                <w:szCs w:val="21"/>
              </w:rPr>
            </w:pPr>
            <w:r>
              <w:rPr>
                <w:rFonts w:hint="eastAsia" w:ascii="宋体" w:hAnsi="宋体" w:cs="宋体"/>
                <w:szCs w:val="21"/>
              </w:rPr>
              <w:t>评标专家确定方式：在平顶山公共资源交易中心评标专家库中随机抽取</w:t>
            </w:r>
          </w:p>
          <w:p w14:paraId="5609E1B4">
            <w:pPr>
              <w:rPr>
                <w:rFonts w:hint="eastAsia" w:ascii="宋体" w:hAnsi="宋体" w:cs="宋体"/>
                <w:szCs w:val="21"/>
              </w:rPr>
            </w:pPr>
            <w:r>
              <w:rPr>
                <w:rFonts w:hint="eastAsia" w:ascii="宋体" w:hAnsi="宋体" w:cs="宋体"/>
                <w:szCs w:val="21"/>
              </w:rPr>
              <w:t>上述规定为一组评标专家委员会组成方式，根据项目标段数量和评标工作量，可由多组专家委员会完成评审，但一个标段只能由一组评标专家委员会评审。</w:t>
            </w:r>
          </w:p>
        </w:tc>
      </w:tr>
      <w:tr w14:paraId="719A54BC">
        <w:tblPrEx>
          <w:tblCellMar>
            <w:top w:w="0" w:type="dxa"/>
            <w:left w:w="108" w:type="dxa"/>
            <w:bottom w:w="0" w:type="dxa"/>
            <w:right w:w="108" w:type="dxa"/>
          </w:tblCellMar>
        </w:tblPrEx>
        <w:trPr>
          <w:trHeight w:val="715"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80C4EA4">
            <w:pPr>
              <w:rPr>
                <w:rFonts w:hint="eastAsia" w:ascii="宋体" w:hAnsi="宋体" w:cs="宋体"/>
                <w:szCs w:val="21"/>
              </w:rPr>
            </w:pPr>
            <w:r>
              <w:rPr>
                <w:rFonts w:hint="eastAsia" w:ascii="宋体" w:hAnsi="宋体" w:cs="宋体"/>
                <w:szCs w:val="21"/>
              </w:rPr>
              <w:t>24</w:t>
            </w:r>
          </w:p>
        </w:tc>
        <w:tc>
          <w:tcPr>
            <w:tcW w:w="1985" w:type="dxa"/>
            <w:tcBorders>
              <w:top w:val="single" w:color="auto" w:sz="4" w:space="0"/>
              <w:left w:val="single" w:color="auto" w:sz="4" w:space="0"/>
              <w:bottom w:val="single" w:color="auto" w:sz="4" w:space="0"/>
              <w:right w:val="single" w:color="auto" w:sz="4" w:space="0"/>
            </w:tcBorders>
            <w:vAlign w:val="center"/>
          </w:tcPr>
          <w:p w14:paraId="2A1835DF">
            <w:pPr>
              <w:rPr>
                <w:rFonts w:hint="eastAsia" w:ascii="宋体" w:hAnsi="宋体" w:cs="宋体"/>
                <w:szCs w:val="21"/>
              </w:rPr>
            </w:pPr>
            <w:r>
              <w:rPr>
                <w:rFonts w:hint="eastAsia" w:ascii="宋体" w:hAnsi="宋体" w:cs="宋体"/>
                <w:szCs w:val="21"/>
              </w:rPr>
              <w:t>是否授权评标委员会确定成交人</w:t>
            </w:r>
          </w:p>
        </w:tc>
        <w:tc>
          <w:tcPr>
            <w:tcW w:w="6179" w:type="dxa"/>
            <w:tcBorders>
              <w:top w:val="single" w:color="auto" w:sz="4" w:space="0"/>
              <w:left w:val="single" w:color="auto" w:sz="4" w:space="0"/>
              <w:bottom w:val="single" w:color="auto" w:sz="4" w:space="0"/>
              <w:right w:val="single" w:color="auto" w:sz="4" w:space="0"/>
            </w:tcBorders>
            <w:vAlign w:val="center"/>
          </w:tcPr>
          <w:p w14:paraId="7F2078D2">
            <w:pPr>
              <w:rPr>
                <w:rFonts w:hint="eastAsia" w:ascii="宋体" w:hAnsi="宋体" w:cs="宋体"/>
                <w:szCs w:val="21"/>
              </w:rPr>
            </w:pPr>
            <w:r>
              <w:rPr>
                <w:rFonts w:hint="eastAsia" w:ascii="宋体" w:hAnsi="宋体" w:cs="宋体"/>
                <w:szCs w:val="21"/>
              </w:rPr>
              <w:t>否，按照评审得分由高到低顺序推荐3名成交候选供应商</w:t>
            </w:r>
          </w:p>
        </w:tc>
      </w:tr>
      <w:tr w14:paraId="43359C26">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3404EE8">
            <w:pPr>
              <w:rPr>
                <w:rFonts w:hint="eastAsia" w:ascii="宋体" w:hAnsi="宋体" w:cs="宋体"/>
                <w:szCs w:val="21"/>
              </w:rPr>
            </w:pPr>
            <w:r>
              <w:rPr>
                <w:rFonts w:hint="eastAsia" w:ascii="宋体" w:hAnsi="宋体" w:cs="宋体"/>
                <w:szCs w:val="21"/>
              </w:rPr>
              <w:t>25</w:t>
            </w:r>
          </w:p>
        </w:tc>
        <w:tc>
          <w:tcPr>
            <w:tcW w:w="1985" w:type="dxa"/>
            <w:tcBorders>
              <w:top w:val="single" w:color="auto" w:sz="4" w:space="0"/>
              <w:left w:val="single" w:color="auto" w:sz="4" w:space="0"/>
              <w:bottom w:val="single" w:color="auto" w:sz="4" w:space="0"/>
              <w:right w:val="single" w:color="auto" w:sz="4" w:space="0"/>
            </w:tcBorders>
            <w:vAlign w:val="center"/>
          </w:tcPr>
          <w:p w14:paraId="6D7AE767">
            <w:pPr>
              <w:rPr>
                <w:rFonts w:hint="eastAsia" w:ascii="宋体" w:hAnsi="宋体" w:cs="宋体"/>
                <w:szCs w:val="21"/>
              </w:rPr>
            </w:pPr>
            <w:r>
              <w:rPr>
                <w:rFonts w:hint="eastAsia" w:ascii="宋体" w:hAnsi="宋体" w:cs="宋体"/>
                <w:szCs w:val="21"/>
              </w:rPr>
              <w:t>招标控制价</w:t>
            </w:r>
          </w:p>
        </w:tc>
        <w:tc>
          <w:tcPr>
            <w:tcW w:w="6179" w:type="dxa"/>
            <w:tcBorders>
              <w:top w:val="single" w:color="auto" w:sz="4" w:space="0"/>
              <w:left w:val="single" w:color="auto" w:sz="4" w:space="0"/>
              <w:bottom w:val="single" w:color="auto" w:sz="4" w:space="0"/>
              <w:right w:val="single" w:color="auto" w:sz="4" w:space="0"/>
            </w:tcBorders>
            <w:vAlign w:val="center"/>
          </w:tcPr>
          <w:p w14:paraId="4BA78611">
            <w:pPr>
              <w:rPr>
                <w:rFonts w:hint="eastAsia" w:ascii="宋体" w:hAnsi="宋体" w:cs="宋体"/>
                <w:szCs w:val="21"/>
              </w:rPr>
            </w:pPr>
            <w:r>
              <w:rPr>
                <w:rFonts w:hint="eastAsia" w:ascii="宋体" w:hAnsi="宋体" w:cs="宋体"/>
                <w:szCs w:val="21"/>
              </w:rPr>
              <w:t>最高限价：1389388.00元</w:t>
            </w:r>
          </w:p>
          <w:p w14:paraId="2CE716F8">
            <w:pPr>
              <w:rPr>
                <w:rFonts w:hint="eastAsia" w:ascii="宋体" w:hAnsi="宋体" w:cs="宋体"/>
                <w:szCs w:val="21"/>
              </w:rPr>
            </w:pPr>
            <w:r>
              <w:rPr>
                <w:rFonts w:hint="eastAsia" w:ascii="宋体" w:hAnsi="宋体" w:cs="宋体"/>
                <w:szCs w:val="21"/>
              </w:rPr>
              <w:t>各投标人投标总报价不得超出最高限价，否则视为无效投标。</w:t>
            </w:r>
          </w:p>
        </w:tc>
      </w:tr>
      <w:tr w14:paraId="2A7762C0">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ED46290">
            <w:pPr>
              <w:rPr>
                <w:rFonts w:hint="eastAsia" w:ascii="宋体" w:hAnsi="宋体" w:cs="宋体"/>
                <w:szCs w:val="21"/>
              </w:rPr>
            </w:pPr>
            <w:r>
              <w:rPr>
                <w:rFonts w:hint="eastAsia" w:ascii="宋体" w:hAnsi="宋体" w:cs="宋体"/>
                <w:szCs w:val="21"/>
              </w:rPr>
              <w:t>26</w:t>
            </w:r>
          </w:p>
        </w:tc>
        <w:tc>
          <w:tcPr>
            <w:tcW w:w="1985" w:type="dxa"/>
            <w:tcBorders>
              <w:top w:val="single" w:color="auto" w:sz="4" w:space="0"/>
              <w:left w:val="single" w:color="auto" w:sz="4" w:space="0"/>
              <w:bottom w:val="single" w:color="auto" w:sz="4" w:space="0"/>
              <w:right w:val="single" w:color="auto" w:sz="4" w:space="0"/>
            </w:tcBorders>
            <w:vAlign w:val="center"/>
          </w:tcPr>
          <w:p w14:paraId="2AC965B1">
            <w:pPr>
              <w:rPr>
                <w:rFonts w:hint="eastAsia" w:ascii="宋体" w:hAnsi="宋体" w:cs="宋体"/>
                <w:szCs w:val="21"/>
              </w:rPr>
            </w:pPr>
            <w:r>
              <w:rPr>
                <w:rFonts w:hint="eastAsia" w:ascii="宋体" w:hAnsi="宋体" w:cs="宋体"/>
                <w:szCs w:val="21"/>
              </w:rPr>
              <w:t>结果公示</w:t>
            </w:r>
          </w:p>
        </w:tc>
        <w:tc>
          <w:tcPr>
            <w:tcW w:w="6179" w:type="dxa"/>
            <w:tcBorders>
              <w:top w:val="single" w:color="auto" w:sz="4" w:space="0"/>
              <w:left w:val="single" w:color="auto" w:sz="4" w:space="0"/>
              <w:bottom w:val="single" w:color="auto" w:sz="4" w:space="0"/>
              <w:right w:val="single" w:color="auto" w:sz="4" w:space="0"/>
            </w:tcBorders>
            <w:vAlign w:val="center"/>
          </w:tcPr>
          <w:p w14:paraId="4E02D5CB">
            <w:pPr>
              <w:rPr>
                <w:rFonts w:hint="eastAsia" w:ascii="宋体" w:hAnsi="宋体" w:cs="宋体"/>
                <w:szCs w:val="21"/>
              </w:rPr>
            </w:pPr>
            <w:r>
              <w:rPr>
                <w:rFonts w:hint="eastAsia" w:ascii="宋体" w:hAnsi="宋体" w:cs="宋体"/>
                <w:szCs w:val="21"/>
              </w:rPr>
              <w:t>在中标通知书发出前，采购人将中标候选人的情况在本招标项目招标公告发布的同一媒介予以公示。</w:t>
            </w:r>
          </w:p>
        </w:tc>
      </w:tr>
      <w:tr w14:paraId="3991B7AD">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4F984A5">
            <w:pPr>
              <w:rPr>
                <w:rFonts w:hint="eastAsia" w:ascii="宋体" w:hAnsi="宋体" w:cs="宋体"/>
                <w:szCs w:val="21"/>
              </w:rPr>
            </w:pPr>
            <w:r>
              <w:rPr>
                <w:rFonts w:hint="eastAsia" w:ascii="宋体" w:hAnsi="宋体" w:cs="宋体"/>
                <w:szCs w:val="21"/>
              </w:rPr>
              <w:t>27</w:t>
            </w:r>
          </w:p>
        </w:tc>
        <w:tc>
          <w:tcPr>
            <w:tcW w:w="1985" w:type="dxa"/>
            <w:tcBorders>
              <w:top w:val="single" w:color="auto" w:sz="4" w:space="0"/>
              <w:left w:val="single" w:color="auto" w:sz="4" w:space="0"/>
              <w:bottom w:val="single" w:color="auto" w:sz="4" w:space="0"/>
              <w:right w:val="single" w:color="auto" w:sz="4" w:space="0"/>
            </w:tcBorders>
            <w:vAlign w:val="center"/>
          </w:tcPr>
          <w:p w14:paraId="0DD21A58">
            <w:pPr>
              <w:rPr>
                <w:rFonts w:hint="eastAsia" w:ascii="宋体" w:hAnsi="宋体" w:cs="宋体"/>
                <w:szCs w:val="21"/>
              </w:rPr>
            </w:pPr>
            <w:r>
              <w:rPr>
                <w:rFonts w:hint="eastAsia" w:ascii="宋体" w:hAnsi="宋体" w:cs="宋体"/>
                <w:szCs w:val="21"/>
              </w:rPr>
              <w:t>同义词语</w:t>
            </w:r>
          </w:p>
        </w:tc>
        <w:tc>
          <w:tcPr>
            <w:tcW w:w="6179" w:type="dxa"/>
            <w:tcBorders>
              <w:top w:val="single" w:color="auto" w:sz="4" w:space="0"/>
              <w:left w:val="single" w:color="auto" w:sz="4" w:space="0"/>
              <w:bottom w:val="single" w:color="auto" w:sz="4" w:space="0"/>
              <w:right w:val="single" w:color="auto" w:sz="4" w:space="0"/>
            </w:tcBorders>
            <w:vAlign w:val="center"/>
          </w:tcPr>
          <w:p w14:paraId="1623EA12">
            <w:pPr>
              <w:rPr>
                <w:rFonts w:hint="eastAsia" w:ascii="宋体" w:hAnsi="宋体" w:cs="宋体"/>
                <w:szCs w:val="21"/>
              </w:rPr>
            </w:pPr>
            <w:r>
              <w:rPr>
                <w:rFonts w:hint="eastAsia" w:ascii="宋体" w:hAnsi="宋体" w:cs="宋体"/>
                <w:szCs w:val="21"/>
              </w:rPr>
              <w:t>构成招标文件组成部分的“通用合同条款”、“专用合同条款”、“技术标准和要求”等章节中出现的措辞“发包人”和“承包人”在招标投标阶段应当分别按“采购人”和“投标人”进行理解。</w:t>
            </w:r>
          </w:p>
        </w:tc>
      </w:tr>
      <w:tr w14:paraId="12E730C6">
        <w:tblPrEx>
          <w:tblCellMar>
            <w:top w:w="0" w:type="dxa"/>
            <w:left w:w="108" w:type="dxa"/>
            <w:bottom w:w="0" w:type="dxa"/>
            <w:right w:w="108" w:type="dxa"/>
          </w:tblCellMar>
        </w:tblPrEx>
        <w:trPr>
          <w:trHeight w:val="265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5566134">
            <w:pPr>
              <w:rPr>
                <w:rFonts w:hint="eastAsia" w:ascii="宋体" w:hAnsi="宋体" w:cs="宋体"/>
                <w:szCs w:val="21"/>
              </w:rPr>
            </w:pPr>
            <w:r>
              <w:rPr>
                <w:rFonts w:hint="eastAsia" w:ascii="宋体" w:hAnsi="宋体" w:cs="宋体"/>
                <w:szCs w:val="21"/>
              </w:rPr>
              <w:t>28</w:t>
            </w:r>
          </w:p>
        </w:tc>
        <w:tc>
          <w:tcPr>
            <w:tcW w:w="1985" w:type="dxa"/>
            <w:tcBorders>
              <w:top w:val="single" w:color="auto" w:sz="4" w:space="0"/>
              <w:left w:val="single" w:color="auto" w:sz="4" w:space="0"/>
              <w:bottom w:val="single" w:color="auto" w:sz="4" w:space="0"/>
              <w:right w:val="single" w:color="auto" w:sz="4" w:space="0"/>
            </w:tcBorders>
            <w:vAlign w:val="center"/>
          </w:tcPr>
          <w:p w14:paraId="6EA241E6">
            <w:pPr>
              <w:rPr>
                <w:rFonts w:hint="eastAsia" w:ascii="宋体" w:hAnsi="宋体" w:cs="宋体"/>
                <w:szCs w:val="21"/>
              </w:rPr>
            </w:pPr>
            <w:r>
              <w:rPr>
                <w:rFonts w:hint="eastAsia" w:ascii="宋体" w:hAnsi="宋体" w:cs="宋体"/>
                <w:szCs w:val="21"/>
              </w:rPr>
              <w:t>解释权</w:t>
            </w:r>
          </w:p>
        </w:tc>
        <w:tc>
          <w:tcPr>
            <w:tcW w:w="6179" w:type="dxa"/>
            <w:tcBorders>
              <w:top w:val="single" w:color="auto" w:sz="4" w:space="0"/>
              <w:left w:val="single" w:color="auto" w:sz="4" w:space="0"/>
              <w:bottom w:val="single" w:color="auto" w:sz="4" w:space="0"/>
              <w:right w:val="single" w:color="auto" w:sz="4" w:space="0"/>
            </w:tcBorders>
            <w:vAlign w:val="center"/>
          </w:tcPr>
          <w:p w14:paraId="0761027B">
            <w:pPr>
              <w:rPr>
                <w:rFonts w:hint="eastAsia" w:ascii="宋体" w:hAnsi="宋体" w:cs="宋体"/>
                <w:szCs w:val="21"/>
              </w:rPr>
            </w:pPr>
            <w:r>
              <w:rPr>
                <w:rFonts w:hint="eastAsia" w:ascii="宋体" w:hAnsi="宋体" w:cs="宋体"/>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及代理机构负责解释。</w:t>
            </w:r>
          </w:p>
        </w:tc>
      </w:tr>
      <w:tr w14:paraId="6F9D4172">
        <w:tblPrEx>
          <w:tblCellMar>
            <w:top w:w="0" w:type="dxa"/>
            <w:left w:w="108" w:type="dxa"/>
            <w:bottom w:w="0" w:type="dxa"/>
            <w:right w:w="108" w:type="dxa"/>
          </w:tblCellMar>
        </w:tblPrEx>
        <w:trPr>
          <w:trHeight w:val="1717"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660195A6">
            <w:pPr>
              <w:rPr>
                <w:rFonts w:hint="default" w:ascii="宋体" w:hAnsi="宋体" w:eastAsia="宋体" w:cs="宋体"/>
                <w:szCs w:val="21"/>
                <w:lang w:val="en-US" w:eastAsia="zh-CN"/>
              </w:rPr>
            </w:pPr>
            <w:r>
              <w:rPr>
                <w:rFonts w:hint="eastAsia" w:ascii="宋体" w:hAnsi="宋体" w:cs="宋体"/>
                <w:szCs w:val="21"/>
                <w:lang w:val="en-US" w:eastAsia="zh-CN"/>
              </w:rPr>
              <w:t>29</w:t>
            </w:r>
          </w:p>
        </w:tc>
        <w:tc>
          <w:tcPr>
            <w:tcW w:w="1985" w:type="dxa"/>
            <w:tcBorders>
              <w:top w:val="single" w:color="auto" w:sz="4" w:space="0"/>
              <w:left w:val="single" w:color="auto" w:sz="4" w:space="0"/>
              <w:bottom w:val="single" w:color="auto" w:sz="4" w:space="0"/>
              <w:right w:val="single" w:color="auto" w:sz="4" w:space="0"/>
            </w:tcBorders>
            <w:vAlign w:val="center"/>
          </w:tcPr>
          <w:p w14:paraId="02DEEE9D">
            <w:pPr>
              <w:rPr>
                <w:rFonts w:hint="default" w:ascii="宋体" w:hAnsi="宋体" w:eastAsia="宋体" w:cs="宋体"/>
                <w:szCs w:val="21"/>
                <w:lang w:val="en-US" w:eastAsia="zh-CN"/>
              </w:rPr>
            </w:pPr>
            <w:r>
              <w:rPr>
                <w:rFonts w:hint="eastAsia" w:ascii="宋体" w:hAnsi="宋体" w:cs="宋体"/>
                <w:szCs w:val="21"/>
                <w:lang w:val="en-US" w:eastAsia="zh-CN"/>
              </w:rPr>
              <w:t>付款方式</w:t>
            </w:r>
          </w:p>
        </w:tc>
        <w:tc>
          <w:tcPr>
            <w:tcW w:w="6179" w:type="dxa"/>
            <w:tcBorders>
              <w:top w:val="single" w:color="auto" w:sz="4" w:space="0"/>
              <w:left w:val="single" w:color="auto" w:sz="4" w:space="0"/>
              <w:bottom w:val="single" w:color="auto" w:sz="4" w:space="0"/>
              <w:right w:val="single" w:color="auto" w:sz="4" w:space="0"/>
            </w:tcBorders>
            <w:vAlign w:val="center"/>
          </w:tcPr>
          <w:p w14:paraId="708975BD">
            <w:pPr>
              <w:rPr>
                <w:rFonts w:hint="eastAsia" w:ascii="宋体" w:hAnsi="宋体" w:cs="宋体"/>
                <w:szCs w:val="21"/>
              </w:rPr>
            </w:pPr>
            <w:r>
              <w:rPr>
                <w:rFonts w:hint="eastAsia" w:ascii="宋体" w:hAnsi="宋体" w:cs="宋体"/>
                <w:szCs w:val="21"/>
              </w:rPr>
              <w:t>合同签订后，成交人进场服务并提供符合甲方要求的支付手续后，甲方支付给乙方合同金额50%的首付款，后续根据甲乙双方约定建设库点内容及进度，在库点验收完成服务两个月后，成交人按照合同履约并提交合格支付手续后，甲方向乙方再支付合同金额的45%，整体项目实施完毕后，使用一年无任何问题，支付剩余款项。</w:t>
            </w:r>
          </w:p>
        </w:tc>
      </w:tr>
      <w:tr w14:paraId="59642F6F">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763A143">
            <w:pPr>
              <w:rPr>
                <w:rFonts w:hint="default" w:ascii="宋体" w:hAnsi="宋体" w:eastAsia="宋体" w:cs="宋体"/>
                <w:szCs w:val="21"/>
                <w:lang w:val="en-US" w:eastAsia="zh-CN"/>
              </w:rPr>
            </w:pPr>
            <w:r>
              <w:rPr>
                <w:rFonts w:hint="eastAsia" w:ascii="宋体" w:hAnsi="宋体" w:cs="宋体"/>
                <w:szCs w:val="21"/>
                <w:lang w:val="en-US" w:eastAsia="zh-CN"/>
              </w:rPr>
              <w:t>30</w:t>
            </w:r>
          </w:p>
        </w:tc>
        <w:tc>
          <w:tcPr>
            <w:tcW w:w="1985" w:type="dxa"/>
            <w:tcBorders>
              <w:top w:val="single" w:color="auto" w:sz="4" w:space="0"/>
              <w:left w:val="single" w:color="auto" w:sz="4" w:space="0"/>
              <w:bottom w:val="single" w:color="auto" w:sz="4" w:space="0"/>
              <w:right w:val="single" w:color="auto" w:sz="4" w:space="0"/>
            </w:tcBorders>
            <w:vAlign w:val="center"/>
          </w:tcPr>
          <w:p w14:paraId="3CEF98D1">
            <w:pPr>
              <w:rPr>
                <w:rFonts w:hint="eastAsia" w:ascii="宋体" w:hAnsi="宋体" w:cs="宋体"/>
                <w:szCs w:val="21"/>
                <w:highlight w:val="none"/>
              </w:rPr>
            </w:pPr>
            <w:r>
              <w:rPr>
                <w:rFonts w:hint="eastAsia" w:ascii="宋体" w:hAnsi="宋体" w:cs="宋体"/>
                <w:szCs w:val="21"/>
                <w:highlight w:val="none"/>
              </w:rPr>
              <w:t>代理服务费</w:t>
            </w:r>
          </w:p>
        </w:tc>
        <w:tc>
          <w:tcPr>
            <w:tcW w:w="6179" w:type="dxa"/>
            <w:tcBorders>
              <w:top w:val="single" w:color="auto" w:sz="4" w:space="0"/>
              <w:left w:val="single" w:color="auto" w:sz="4" w:space="0"/>
              <w:bottom w:val="single" w:color="auto" w:sz="4" w:space="0"/>
              <w:right w:val="single" w:color="auto" w:sz="4" w:space="0"/>
            </w:tcBorders>
            <w:vAlign w:val="center"/>
          </w:tcPr>
          <w:p w14:paraId="3CE30D95">
            <w:pPr>
              <w:rPr>
                <w:rFonts w:hint="eastAsia" w:ascii="宋体" w:hAnsi="宋体" w:cs="宋体"/>
                <w:szCs w:val="21"/>
                <w:highlight w:val="none"/>
              </w:rPr>
            </w:pPr>
            <w:r>
              <w:rPr>
                <w:rFonts w:hint="eastAsia" w:ascii="宋体" w:hAnsi="宋体" w:cs="宋体"/>
                <w:szCs w:val="21"/>
                <w:highlight w:val="none"/>
              </w:rPr>
              <w:t>投标人应在中标后向招标代理人支付招标代理服务费。此项费用由投标人综合考虑到投标报价中，不单独列项报价。中标人在领取中标通知书前，应参照河南省招标代理服务收费指导意见豫招协[2023]002号文件的规定向招标代理人足额缴纳招标代理服务费。金额为：</w:t>
            </w:r>
            <w:r>
              <w:rPr>
                <w:rFonts w:hint="eastAsia" w:ascii="宋体" w:hAnsi="宋体" w:cs="宋体"/>
                <w:szCs w:val="21"/>
                <w:highlight w:val="none"/>
                <w:lang w:val="en-US" w:eastAsia="zh-CN"/>
              </w:rPr>
              <w:t>23000.00</w:t>
            </w:r>
            <w:r>
              <w:rPr>
                <w:rFonts w:hint="eastAsia" w:ascii="宋体" w:hAnsi="宋体" w:cs="宋体"/>
                <w:szCs w:val="21"/>
                <w:highlight w:val="none"/>
              </w:rPr>
              <w:t>元</w:t>
            </w:r>
          </w:p>
        </w:tc>
      </w:tr>
      <w:tr w14:paraId="75802D41">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50F2FF5">
            <w:pPr>
              <w:rPr>
                <w:rFonts w:hint="default" w:ascii="宋体" w:hAnsi="宋体" w:eastAsia="宋体" w:cs="宋体"/>
                <w:szCs w:val="21"/>
                <w:lang w:val="en-US" w:eastAsia="zh-CN"/>
              </w:rPr>
            </w:pPr>
            <w:r>
              <w:rPr>
                <w:rFonts w:hint="eastAsia" w:ascii="宋体" w:hAnsi="宋体" w:cs="宋体"/>
                <w:szCs w:val="21"/>
                <w:lang w:val="en-US" w:eastAsia="zh-CN"/>
              </w:rPr>
              <w:t>31</w:t>
            </w:r>
          </w:p>
        </w:tc>
        <w:tc>
          <w:tcPr>
            <w:tcW w:w="1985" w:type="dxa"/>
            <w:tcBorders>
              <w:top w:val="single" w:color="auto" w:sz="4" w:space="0"/>
              <w:left w:val="single" w:color="auto" w:sz="4" w:space="0"/>
              <w:bottom w:val="single" w:color="auto" w:sz="4" w:space="0"/>
              <w:right w:val="single" w:color="auto" w:sz="4" w:space="0"/>
            </w:tcBorders>
            <w:vAlign w:val="center"/>
          </w:tcPr>
          <w:p w14:paraId="04E5298D">
            <w:pPr>
              <w:rPr>
                <w:rFonts w:hint="eastAsia" w:ascii="宋体" w:hAnsi="宋体" w:cs="宋体"/>
                <w:szCs w:val="21"/>
              </w:rPr>
            </w:pPr>
            <w:r>
              <w:rPr>
                <w:rFonts w:hint="eastAsia" w:ascii="宋体" w:hAnsi="宋体" w:cs="宋体"/>
                <w:szCs w:val="21"/>
              </w:rPr>
              <w:t>电子化投标注意事项（请认真阅读）</w:t>
            </w:r>
          </w:p>
        </w:tc>
        <w:tc>
          <w:tcPr>
            <w:tcW w:w="6179" w:type="dxa"/>
            <w:tcBorders>
              <w:top w:val="single" w:color="auto" w:sz="4" w:space="0"/>
              <w:left w:val="single" w:color="auto" w:sz="4" w:space="0"/>
              <w:bottom w:val="single" w:color="auto" w:sz="4" w:space="0"/>
              <w:right w:val="single" w:color="auto" w:sz="4" w:space="0"/>
            </w:tcBorders>
            <w:vAlign w:val="center"/>
          </w:tcPr>
          <w:p w14:paraId="344F66E9">
            <w:pPr>
              <w:rPr>
                <w:rFonts w:hint="eastAsia" w:ascii="宋体" w:hAnsi="宋体" w:cs="宋体"/>
                <w:szCs w:val="21"/>
              </w:rPr>
            </w:pPr>
            <w:r>
              <w:rPr>
                <w:rFonts w:hint="eastAsia" w:ascii="宋体" w:hAnsi="宋体" w:cs="宋体"/>
                <w:szCs w:val="21"/>
              </w:rPr>
              <w:t>本项目实行全流程电子化投标。</w:t>
            </w:r>
          </w:p>
          <w:p w14:paraId="58401AEE">
            <w:pPr>
              <w:rPr>
                <w:rFonts w:hint="eastAsia" w:ascii="宋体" w:hAnsi="宋体" w:cs="宋体"/>
                <w:szCs w:val="21"/>
              </w:rPr>
            </w:pPr>
            <w:r>
              <w:rPr>
                <w:rFonts w:hint="eastAsia" w:ascii="宋体" w:hAnsi="宋体" w:cs="宋体"/>
                <w:szCs w:val="21"/>
              </w:rPr>
              <w:t>电子化交易项目投标文件是投标人通过中心投标文件制作系统制作，并经过签章和加密后生成的电子版投标文件。（电子化投标文件具体制作教材请投标人通过CA证书登录公共资源电子化交易系统在右上角“组件下载”中查看）制作电子化投标文件，需仔细阅读以下条款。</w:t>
            </w:r>
          </w:p>
          <w:p w14:paraId="15F7BD28">
            <w:pPr>
              <w:rPr>
                <w:rFonts w:hint="eastAsia" w:ascii="宋体" w:hAnsi="宋体" w:cs="宋体"/>
                <w:szCs w:val="21"/>
              </w:rPr>
            </w:pPr>
            <w:r>
              <w:rPr>
                <w:rFonts w:hint="eastAsia" w:ascii="宋体" w:hAnsi="宋体" w:cs="宋体"/>
                <w:szCs w:val="21"/>
              </w:rPr>
              <w:t>一、电子化投标</w:t>
            </w:r>
          </w:p>
          <w:p w14:paraId="3346E36D">
            <w:pPr>
              <w:rPr>
                <w:rFonts w:hint="eastAsia" w:ascii="宋体" w:hAnsi="宋体" w:cs="宋体"/>
                <w:szCs w:val="21"/>
              </w:rPr>
            </w:pPr>
            <w:r>
              <w:rPr>
                <w:rFonts w:hint="eastAsia" w:ascii="宋体" w:hAnsi="宋体" w:cs="宋体"/>
                <w:szCs w:val="21"/>
              </w:rPr>
              <w:t>（一）网上投标保证金的缴纳（不适用）</w:t>
            </w:r>
          </w:p>
          <w:p w14:paraId="715FB7D5">
            <w:pPr>
              <w:rPr>
                <w:rFonts w:hint="eastAsia" w:ascii="宋体" w:hAnsi="宋体" w:cs="宋体"/>
                <w:szCs w:val="21"/>
              </w:rPr>
            </w:pPr>
            <w:r>
              <w:rPr>
                <w:rFonts w:hint="eastAsia" w:ascii="宋体" w:hAnsi="宋体" w:cs="宋体"/>
                <w:szCs w:val="21"/>
              </w:rPr>
              <w:t>（二）电子化投标文件的签章</w:t>
            </w:r>
          </w:p>
          <w:p w14:paraId="5B005080">
            <w:pPr>
              <w:rPr>
                <w:rFonts w:hint="eastAsia" w:ascii="宋体" w:hAnsi="宋体" w:cs="宋体"/>
                <w:szCs w:val="21"/>
              </w:rPr>
            </w:pPr>
            <w:r>
              <w:rPr>
                <w:rFonts w:hint="eastAsia" w:ascii="宋体" w:hAnsi="宋体" w:cs="宋体"/>
                <w:szCs w:val="21"/>
              </w:rPr>
              <w:t>1、投标人在生成电子化投标文件后，应对电子化投标文件进行签章，未进行签章的视为无效投标。</w:t>
            </w:r>
          </w:p>
          <w:p w14:paraId="59A7D2D7">
            <w:pPr>
              <w:rPr>
                <w:rFonts w:hint="eastAsia" w:ascii="宋体" w:hAnsi="宋体" w:cs="宋体"/>
                <w:szCs w:val="21"/>
              </w:rPr>
            </w:pPr>
            <w:r>
              <w:rPr>
                <w:rFonts w:hint="eastAsia" w:ascii="宋体" w:hAnsi="宋体" w:cs="宋体"/>
                <w:szCs w:val="21"/>
              </w:rPr>
              <w:t>2、招标文件中要求法定代表人或授权委托人电子签章的，投标人在进行电子化投标文件签章时，以签盖法定代表人签章为准。电子化投标文件具体制作教材请投标人通过CA证书登录平顶山市公共资源电子化交易系统在右上角“组建下载”中查看。</w:t>
            </w:r>
          </w:p>
          <w:p w14:paraId="6E64C3BA">
            <w:pPr>
              <w:rPr>
                <w:rFonts w:hint="eastAsia" w:ascii="宋体" w:hAnsi="宋体" w:cs="宋体"/>
                <w:szCs w:val="21"/>
              </w:rPr>
            </w:pPr>
            <w:r>
              <w:rPr>
                <w:rFonts w:hint="eastAsia" w:ascii="宋体" w:hAnsi="宋体" w:cs="宋体"/>
                <w:szCs w:val="21"/>
              </w:rPr>
              <w:t>（三）电子化投标文件的格式及上传投标</w:t>
            </w:r>
          </w:p>
          <w:p w14:paraId="58F02030">
            <w:pPr>
              <w:rPr>
                <w:rFonts w:hint="eastAsia" w:ascii="宋体" w:hAnsi="宋体" w:cs="宋体"/>
                <w:szCs w:val="21"/>
              </w:rPr>
            </w:pPr>
            <w:r>
              <w:rPr>
                <w:rFonts w:hint="eastAsia" w:ascii="宋体" w:hAnsi="宋体" w:cs="宋体"/>
                <w:szCs w:val="21"/>
              </w:rPr>
              <w:t>1、投标人所上传的电子化投标文件，应是通过中心投标文件制作系统制作的，经过签章和加密后生成的电子版投标文件。生成的电子版投标文件包含用于投标文件上传的主文件（项目文件格式为：xxx公司_ 项目名称.file）和用于应急补救的投标文件备份文件（项目文件格式为：xxx公司_ 项目名称.bin），备份文件主要用于电子化开标出现技术问题后的补救，请投标人随身携带。</w:t>
            </w:r>
          </w:p>
          <w:p w14:paraId="501B88DC">
            <w:pPr>
              <w:rPr>
                <w:rFonts w:hint="eastAsia" w:ascii="宋体" w:hAnsi="宋体" w:cs="宋体"/>
                <w:szCs w:val="21"/>
              </w:rPr>
            </w:pPr>
            <w:r>
              <w:rPr>
                <w:rFonts w:hint="eastAsia" w:ascii="宋体" w:hAnsi="宋体" w:cs="宋体"/>
                <w:szCs w:val="21"/>
              </w:rPr>
              <w:t>注：投标人投报多个标段的，根据标段制作各个标段的投标文件后上传</w:t>
            </w:r>
          </w:p>
          <w:p w14:paraId="06E45D37">
            <w:pPr>
              <w:rPr>
                <w:rFonts w:hint="eastAsia" w:ascii="宋体" w:hAnsi="宋体" w:cs="宋体"/>
                <w:szCs w:val="21"/>
              </w:rPr>
            </w:pPr>
            <w:r>
              <w:rPr>
                <w:rFonts w:hint="eastAsia" w:ascii="宋体" w:hAnsi="宋体" w:cs="宋体"/>
                <w:szCs w:val="21"/>
              </w:rPr>
              <w:t>2、电子化投标文件应在投标截止时间前成功上传至平顶山市公共资源电子化交易系统。至投标截止时间止，仍未上传成功的电子化投标文件将不予接收。</w:t>
            </w:r>
          </w:p>
          <w:p w14:paraId="5141E35F">
            <w:pPr>
              <w:rPr>
                <w:rFonts w:hint="eastAsia" w:ascii="宋体" w:hAnsi="宋体" w:cs="宋体"/>
                <w:szCs w:val="21"/>
              </w:rPr>
            </w:pPr>
            <w:r>
              <w:rPr>
                <w:rFonts w:hint="eastAsia" w:ascii="宋体" w:hAnsi="宋体" w:cs="宋体"/>
                <w:szCs w:val="21"/>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31146D6C">
            <w:pPr>
              <w:rPr>
                <w:rFonts w:hint="eastAsia" w:ascii="宋体" w:hAnsi="宋体" w:cs="宋体"/>
                <w:szCs w:val="21"/>
              </w:rPr>
            </w:pPr>
            <w:r>
              <w:rPr>
                <w:rFonts w:hint="eastAsia" w:ascii="宋体" w:hAnsi="宋体" w:cs="宋体"/>
                <w:szCs w:val="21"/>
              </w:rPr>
              <w:t>（四）电子化项目开标、解密、唱标、评标</w:t>
            </w:r>
          </w:p>
          <w:p w14:paraId="670ABD35">
            <w:pPr>
              <w:rPr>
                <w:rFonts w:hint="eastAsia" w:ascii="宋体" w:hAnsi="宋体" w:cs="宋体"/>
                <w:szCs w:val="21"/>
              </w:rPr>
            </w:pPr>
            <w:r>
              <w:rPr>
                <w:rFonts w:hint="eastAsia" w:ascii="宋体" w:hAnsi="宋体" w:cs="宋体"/>
                <w:szCs w:val="21"/>
              </w:rPr>
              <w:t>1、电子化投标文件采用双重加密方式。开标时，首先由投标人使用CA证书，在规定时间内对其电子化投标文件进行首次解密，投标人解密完成后，再由中介服务机构使用CA证书对投标文件进行再次解密。</w:t>
            </w:r>
          </w:p>
          <w:p w14:paraId="09B4F4E9">
            <w:pPr>
              <w:rPr>
                <w:rFonts w:hint="eastAsia" w:ascii="宋体" w:hAnsi="宋体" w:cs="宋体"/>
                <w:szCs w:val="21"/>
              </w:rPr>
            </w:pPr>
            <w:r>
              <w:rPr>
                <w:rFonts w:hint="eastAsia" w:ascii="宋体" w:hAnsi="宋体" w:cs="宋体"/>
                <w:szCs w:val="21"/>
              </w:rPr>
              <w:t>2、电子化投标文件解密异常的处理</w:t>
            </w:r>
          </w:p>
          <w:p w14:paraId="5AB99D9C">
            <w:pPr>
              <w:rPr>
                <w:rFonts w:hint="eastAsia" w:ascii="宋体" w:hAnsi="宋体" w:cs="宋体"/>
                <w:szCs w:val="21"/>
              </w:rPr>
            </w:pPr>
            <w:r>
              <w:rPr>
                <w:rFonts w:hint="eastAsia" w:ascii="宋体" w:hAnsi="宋体" w:cs="宋体"/>
                <w:szCs w:val="21"/>
              </w:rPr>
              <w:t>如出现投标人的电子投标文件无法解密的情况，投标人应及时联系中介服务机构说明。投标文件解密异常，按以下步骤进行处理：</w:t>
            </w:r>
          </w:p>
          <w:p w14:paraId="47F0E86D">
            <w:pPr>
              <w:rPr>
                <w:rFonts w:hint="eastAsia" w:ascii="宋体" w:hAnsi="宋体" w:cs="宋体"/>
                <w:szCs w:val="21"/>
              </w:rPr>
            </w:pPr>
            <w:r>
              <w:rPr>
                <w:rFonts w:hint="eastAsia" w:ascii="宋体" w:hAnsi="宋体" w:cs="宋体"/>
                <w:szCs w:val="21"/>
              </w:rPr>
              <w:t>（1）首先由技术人员进行问题排查。</w:t>
            </w:r>
          </w:p>
          <w:p w14:paraId="6748DEB1">
            <w:pPr>
              <w:rPr>
                <w:rFonts w:hint="eastAsia" w:ascii="宋体" w:hAnsi="宋体" w:cs="宋体"/>
                <w:szCs w:val="21"/>
              </w:rPr>
            </w:pPr>
            <w:r>
              <w:rPr>
                <w:rFonts w:hint="eastAsia" w:ascii="宋体" w:hAnsi="宋体" w:cs="宋体"/>
                <w:szCs w:val="21"/>
              </w:rPr>
              <w:t>（2）经技术人员排查后，是投标人文件自身问题导致投标文件无法解密的，该投标文件将不予接收、解密和唱标，开标会议继续进行。</w:t>
            </w:r>
          </w:p>
          <w:p w14:paraId="386C0C2D">
            <w:pPr>
              <w:rPr>
                <w:rFonts w:hint="eastAsia" w:ascii="宋体" w:hAnsi="宋体" w:cs="宋体"/>
                <w:szCs w:val="21"/>
              </w:rPr>
            </w:pPr>
            <w:r>
              <w:rPr>
                <w:rFonts w:hint="eastAsia" w:ascii="宋体" w:hAnsi="宋体" w:cs="宋体"/>
                <w:szCs w:val="21"/>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3FCC45C8">
            <w:pPr>
              <w:rPr>
                <w:rFonts w:hint="eastAsia" w:ascii="宋体" w:hAnsi="宋体" w:cs="宋体"/>
                <w:szCs w:val="21"/>
              </w:rPr>
            </w:pPr>
            <w:r>
              <w:rPr>
                <w:rFonts w:hint="eastAsia" w:ascii="宋体" w:hAnsi="宋体" w:cs="宋体"/>
                <w:szCs w:val="21"/>
              </w:rPr>
              <w:t>3、待所有投标人投标文件解密完成后，由中介服务机构操作，对所有已解密投标文件进行唱标。</w:t>
            </w:r>
          </w:p>
          <w:p w14:paraId="0A1563B3">
            <w:pPr>
              <w:rPr>
                <w:rFonts w:hint="eastAsia" w:ascii="宋体" w:hAnsi="宋体" w:cs="宋体"/>
                <w:szCs w:val="21"/>
              </w:rPr>
            </w:pPr>
            <w:r>
              <w:rPr>
                <w:rFonts w:hint="eastAsia" w:ascii="宋体" w:hAnsi="宋体" w:cs="宋体"/>
                <w:szCs w:val="21"/>
              </w:rPr>
              <w:t>4、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14:paraId="221164A5">
            <w:pPr>
              <w:rPr>
                <w:rFonts w:hint="eastAsia" w:ascii="宋体" w:hAnsi="宋体" w:cs="宋体"/>
                <w:szCs w:val="21"/>
              </w:rPr>
            </w:pPr>
            <w:r>
              <w:rPr>
                <w:rFonts w:hint="eastAsia" w:ascii="宋体" w:hAnsi="宋体" w:cs="宋体"/>
                <w:szCs w:val="21"/>
              </w:rPr>
              <w:t>5、如评标委员会对需要回复的投标人回复内容有异议的，经过几次回复仍不清楚的，需在监督下进行免提电话进行质疑。</w:t>
            </w:r>
          </w:p>
          <w:p w14:paraId="49BFD731">
            <w:pPr>
              <w:rPr>
                <w:rFonts w:hint="eastAsia" w:ascii="宋体" w:hAnsi="宋体" w:cs="宋体"/>
                <w:szCs w:val="21"/>
              </w:rPr>
            </w:pPr>
            <w:r>
              <w:rPr>
                <w:rFonts w:hint="eastAsia" w:ascii="宋体" w:hAnsi="宋体" w:cs="宋体"/>
                <w:szCs w:val="21"/>
              </w:rPr>
              <w:t>6、评标时如因系统异常、停电、电脑病毒、网络堵塞等原因无法正常进行的，由技术人员排查解决，短时间无法解决的，经监督部门同意后，暂停评标活动，待问题解决后继续评标。</w:t>
            </w:r>
          </w:p>
        </w:tc>
      </w:tr>
      <w:tr w14:paraId="160BFF0A">
        <w:tblPrEx>
          <w:tblCellMar>
            <w:top w:w="0" w:type="dxa"/>
            <w:left w:w="108" w:type="dxa"/>
            <w:bottom w:w="0" w:type="dxa"/>
            <w:right w:w="108" w:type="dxa"/>
          </w:tblCellMar>
        </w:tblPrEx>
        <w:trPr>
          <w:trHeight w:val="88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0F3546F0">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2</w:t>
            </w:r>
          </w:p>
        </w:tc>
        <w:tc>
          <w:tcPr>
            <w:tcW w:w="1985" w:type="dxa"/>
            <w:tcBorders>
              <w:top w:val="single" w:color="auto" w:sz="4" w:space="0"/>
              <w:left w:val="single" w:color="auto" w:sz="4" w:space="0"/>
              <w:bottom w:val="single" w:color="auto" w:sz="4" w:space="0"/>
              <w:right w:val="single" w:color="auto" w:sz="4" w:space="0"/>
            </w:tcBorders>
            <w:vAlign w:val="center"/>
          </w:tcPr>
          <w:p w14:paraId="52B0092E">
            <w:pPr>
              <w:rPr>
                <w:rFonts w:hint="eastAsia" w:ascii="宋体" w:hAnsi="宋体" w:cs="宋体"/>
                <w:b/>
                <w:bCs/>
                <w:szCs w:val="21"/>
              </w:rPr>
            </w:pPr>
            <w:r>
              <w:rPr>
                <w:rFonts w:hint="eastAsia" w:ascii="宋体" w:hAnsi="宋体" w:cs="宋体"/>
                <w:b/>
                <w:bCs/>
                <w:szCs w:val="21"/>
              </w:rPr>
              <w:t>其他注意事项</w:t>
            </w:r>
          </w:p>
        </w:tc>
        <w:tc>
          <w:tcPr>
            <w:tcW w:w="6179" w:type="dxa"/>
            <w:tcBorders>
              <w:top w:val="single" w:color="auto" w:sz="4" w:space="0"/>
              <w:left w:val="single" w:color="auto" w:sz="4" w:space="0"/>
              <w:bottom w:val="single" w:color="auto" w:sz="4" w:space="0"/>
              <w:right w:val="single" w:color="auto" w:sz="4" w:space="0"/>
            </w:tcBorders>
            <w:vAlign w:val="center"/>
          </w:tcPr>
          <w:p w14:paraId="06F3F777">
            <w:pPr>
              <w:rPr>
                <w:rFonts w:hint="eastAsia" w:ascii="宋体" w:hAnsi="宋体" w:cs="宋体"/>
                <w:b/>
                <w:bCs/>
                <w:szCs w:val="21"/>
              </w:rPr>
            </w:pPr>
            <w:r>
              <w:rPr>
                <w:rFonts w:hint="eastAsia" w:ascii="宋体" w:hAnsi="宋体" w:cs="宋体"/>
                <w:b/>
                <w:bCs/>
                <w:szCs w:val="21"/>
              </w:rPr>
              <w:t>参与同一个标段(包)的投标人存在下列情形之一的，其投标(响应)文件无效:</w:t>
            </w:r>
          </w:p>
          <w:p w14:paraId="6C3E307D">
            <w:pPr>
              <w:rPr>
                <w:rFonts w:hint="eastAsia" w:ascii="宋体" w:hAnsi="宋体" w:cs="宋体"/>
                <w:b/>
                <w:bCs/>
                <w:szCs w:val="21"/>
              </w:rPr>
            </w:pPr>
            <w:r>
              <w:rPr>
                <w:rFonts w:hint="eastAsia" w:ascii="宋体" w:hAnsi="宋体" w:cs="宋体"/>
                <w:b/>
                <w:bCs/>
                <w:szCs w:val="21"/>
              </w:rPr>
              <w:t>(一)不同投标人的电子投标(响应)文件上传计算机的网卡MAC地址、CPU序列号和硬盘序列号等硬件信息相同的:</w:t>
            </w:r>
          </w:p>
          <w:p w14:paraId="49D6934C">
            <w:pPr>
              <w:rPr>
                <w:rFonts w:hint="eastAsia" w:ascii="宋体" w:hAnsi="宋体" w:cs="宋体"/>
                <w:b/>
                <w:bCs/>
                <w:szCs w:val="21"/>
              </w:rPr>
            </w:pPr>
            <w:r>
              <w:rPr>
                <w:rFonts w:hint="eastAsia" w:ascii="宋体" w:hAnsi="宋体" w:cs="宋体"/>
                <w:b/>
                <w:bCs/>
                <w:szCs w:val="21"/>
              </w:rPr>
              <w:t>(二)不同投标人的投标(响应)文件由同一电子设备编制、打印加密或者上传;</w:t>
            </w:r>
          </w:p>
          <w:p w14:paraId="19542EE1">
            <w:pPr>
              <w:rPr>
                <w:rFonts w:hint="eastAsia" w:ascii="宋体" w:hAnsi="宋体" w:cs="宋体"/>
                <w:b/>
                <w:bCs/>
                <w:szCs w:val="21"/>
              </w:rPr>
            </w:pPr>
            <w:r>
              <w:rPr>
                <w:rFonts w:hint="eastAsia" w:ascii="宋体" w:hAnsi="宋体" w:cs="宋体"/>
                <w:b/>
                <w:bCs/>
                <w:szCs w:val="21"/>
              </w:rPr>
              <w:t>(三)不同投标人的投标(响应)文件由同一电子设备打印、复印;</w:t>
            </w:r>
          </w:p>
          <w:p w14:paraId="652B0E3F">
            <w:pPr>
              <w:rPr>
                <w:rFonts w:hint="eastAsia" w:ascii="宋体" w:hAnsi="宋体" w:cs="宋体"/>
                <w:b/>
                <w:bCs/>
                <w:szCs w:val="21"/>
              </w:rPr>
            </w:pPr>
            <w:r>
              <w:rPr>
                <w:rFonts w:hint="eastAsia" w:ascii="宋体" w:hAnsi="宋体" w:cs="宋体"/>
                <w:b/>
                <w:bCs/>
                <w:szCs w:val="21"/>
              </w:rPr>
              <w:t>(四)不同投标人的投标(响应)文件由同一人送达或者分发，或者不同投标人联系人为同一人或不同联系人的联系电话一致的;</w:t>
            </w:r>
          </w:p>
          <w:p w14:paraId="0F6D1654">
            <w:pPr>
              <w:rPr>
                <w:rFonts w:hint="eastAsia" w:ascii="宋体" w:hAnsi="宋体" w:cs="宋体"/>
                <w:b/>
                <w:bCs/>
                <w:szCs w:val="21"/>
              </w:rPr>
            </w:pPr>
            <w:r>
              <w:rPr>
                <w:rFonts w:hint="eastAsia" w:ascii="宋体" w:hAnsi="宋体" w:cs="宋体"/>
                <w:b/>
                <w:bCs/>
                <w:szCs w:val="21"/>
              </w:rPr>
              <w:t>(五)不同投标人的投标(响应)文件的内容存在两处以上细节错误一致;</w:t>
            </w:r>
          </w:p>
          <w:p w14:paraId="268C0D7A">
            <w:pPr>
              <w:rPr>
                <w:rFonts w:hint="eastAsia" w:ascii="宋体" w:hAnsi="宋体" w:cs="宋体"/>
                <w:b/>
                <w:bCs/>
                <w:szCs w:val="21"/>
              </w:rPr>
            </w:pPr>
            <w:r>
              <w:rPr>
                <w:rFonts w:hint="eastAsia" w:ascii="宋体" w:hAnsi="宋体" w:cs="宋体"/>
                <w:b/>
                <w:bCs/>
                <w:szCs w:val="21"/>
              </w:rPr>
              <w:t>(六)不同投标人的法定代表人、委托代理人、项目经理、项目负责人等由同一个单位缴纳社会保险或者领取报酬的;</w:t>
            </w:r>
          </w:p>
          <w:p w14:paraId="4093077D">
            <w:pPr>
              <w:rPr>
                <w:rFonts w:hint="eastAsia" w:ascii="宋体" w:hAnsi="宋体" w:cs="宋体"/>
                <w:b/>
                <w:bCs/>
                <w:szCs w:val="21"/>
              </w:rPr>
            </w:pPr>
            <w:r>
              <w:rPr>
                <w:rFonts w:hint="eastAsia" w:ascii="宋体" w:hAnsi="宋体" w:cs="宋体"/>
                <w:b/>
                <w:bCs/>
                <w:szCs w:val="21"/>
              </w:rPr>
              <w:t>(七)不同投标人投标(响应)文件中法定代表人或者负责人签字出自同一人之手;</w:t>
            </w:r>
          </w:p>
          <w:p w14:paraId="410A4F4A">
            <w:pPr>
              <w:rPr>
                <w:rFonts w:hint="eastAsia" w:ascii="宋体" w:hAnsi="宋体" w:cs="宋体"/>
                <w:b/>
                <w:bCs/>
                <w:szCs w:val="21"/>
              </w:rPr>
            </w:pPr>
            <w:r>
              <w:rPr>
                <w:rFonts w:hint="eastAsia" w:ascii="宋体" w:hAnsi="宋体" w:cs="宋体"/>
                <w:b/>
                <w:bCs/>
                <w:szCs w:val="21"/>
              </w:rPr>
              <w:t>(八)其它涉嫌串通的情形。</w:t>
            </w:r>
          </w:p>
        </w:tc>
      </w:tr>
      <w:tr w14:paraId="2A381576">
        <w:tblPrEx>
          <w:tblCellMar>
            <w:top w:w="0" w:type="dxa"/>
            <w:left w:w="108" w:type="dxa"/>
            <w:bottom w:w="0" w:type="dxa"/>
            <w:right w:w="108" w:type="dxa"/>
          </w:tblCellMar>
        </w:tblPrEx>
        <w:trPr>
          <w:trHeight w:val="15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EDF041C">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3</w:t>
            </w:r>
          </w:p>
        </w:tc>
        <w:tc>
          <w:tcPr>
            <w:tcW w:w="1985" w:type="dxa"/>
            <w:tcBorders>
              <w:top w:val="single" w:color="auto" w:sz="4" w:space="0"/>
              <w:left w:val="single" w:color="auto" w:sz="4" w:space="0"/>
              <w:bottom w:val="single" w:color="auto" w:sz="4" w:space="0"/>
              <w:right w:val="single" w:color="auto" w:sz="4" w:space="0"/>
            </w:tcBorders>
            <w:vAlign w:val="center"/>
          </w:tcPr>
          <w:p w14:paraId="6BD2B0F2">
            <w:pPr>
              <w:rPr>
                <w:rFonts w:hint="eastAsia" w:ascii="宋体" w:hAnsi="宋体" w:cs="宋体"/>
                <w:szCs w:val="21"/>
              </w:rPr>
            </w:pPr>
            <w:r>
              <w:rPr>
                <w:rFonts w:hint="eastAsia" w:ascii="宋体" w:hAnsi="宋体" w:cs="宋体"/>
                <w:szCs w:val="21"/>
              </w:rPr>
              <w:t>政采领域优化营商环境相关政策</w:t>
            </w:r>
          </w:p>
        </w:tc>
        <w:tc>
          <w:tcPr>
            <w:tcW w:w="6179" w:type="dxa"/>
            <w:tcBorders>
              <w:top w:val="single" w:color="auto" w:sz="4" w:space="0"/>
              <w:left w:val="single" w:color="auto" w:sz="4" w:space="0"/>
              <w:bottom w:val="single" w:color="auto" w:sz="4" w:space="0"/>
              <w:right w:val="single" w:color="auto" w:sz="4" w:space="0"/>
            </w:tcBorders>
            <w:vAlign w:val="center"/>
          </w:tcPr>
          <w:p w14:paraId="59C23D14">
            <w:pPr>
              <w:rPr>
                <w:rFonts w:hint="eastAsia" w:ascii="宋体" w:hAnsi="宋体" w:cs="宋体"/>
                <w:szCs w:val="21"/>
              </w:rPr>
            </w:pPr>
            <w:r>
              <w:rPr>
                <w:rFonts w:hint="eastAsia" w:ascii="宋体" w:hAnsi="宋体" w:cs="宋体"/>
                <w:szCs w:val="21"/>
              </w:rPr>
              <w:t>一、落实四个“一日办”精神：</w:t>
            </w:r>
          </w:p>
          <w:p w14:paraId="62C028E8">
            <w:pPr>
              <w:rPr>
                <w:rFonts w:hint="eastAsia" w:ascii="宋体" w:hAnsi="宋体" w:cs="宋体"/>
                <w:szCs w:val="21"/>
              </w:rPr>
            </w:pPr>
            <w:r>
              <w:rPr>
                <w:rFonts w:hint="eastAsia" w:ascii="宋体" w:hAnsi="宋体" w:cs="宋体"/>
                <w:szCs w:val="21"/>
              </w:rPr>
              <w:t>按照《平顶山市财政局关于压减政府采购各环节时限 进一步优化政府采购营商环境的通知》（平财购〔2021〕34号）通知，落实四个“一日办”精神：</w:t>
            </w:r>
          </w:p>
          <w:p w14:paraId="0FB25917">
            <w:pPr>
              <w:rPr>
                <w:rFonts w:hint="eastAsia" w:ascii="宋体" w:hAnsi="宋体" w:cs="宋体"/>
                <w:szCs w:val="21"/>
              </w:rPr>
            </w:pPr>
            <w:r>
              <w:rPr>
                <w:rFonts w:hint="eastAsia" w:ascii="宋体" w:hAnsi="宋体" w:cs="宋体"/>
                <w:szCs w:val="21"/>
              </w:rPr>
              <w:t>（1）在评审结束后1日内确定采购结果，同时对中标单位发出中标或成交通知书，并在网上进行公告；</w:t>
            </w:r>
          </w:p>
          <w:p w14:paraId="58598617">
            <w:pPr>
              <w:rPr>
                <w:rFonts w:hint="eastAsia" w:ascii="宋体" w:hAnsi="宋体" w:cs="宋体"/>
                <w:szCs w:val="21"/>
              </w:rPr>
            </w:pPr>
            <w:r>
              <w:rPr>
                <w:rFonts w:hint="eastAsia" w:ascii="宋体" w:hAnsi="宋体" w:cs="宋体"/>
                <w:szCs w:val="21"/>
              </w:rPr>
              <w:t>（2）中标或成交通知书发出后，1日内与中标或成交供应商签订合同，合同签订当日完成合同备案工作；</w:t>
            </w:r>
          </w:p>
          <w:p w14:paraId="3450407A">
            <w:pPr>
              <w:rPr>
                <w:rFonts w:hint="eastAsia" w:ascii="宋体" w:hAnsi="宋体" w:cs="宋体"/>
                <w:szCs w:val="21"/>
              </w:rPr>
            </w:pPr>
            <w:r>
              <w:rPr>
                <w:rFonts w:hint="eastAsia" w:ascii="宋体" w:hAnsi="宋体" w:cs="宋体"/>
                <w:szCs w:val="21"/>
              </w:rPr>
              <w:t>（3）政府采购项目供应商履约完成后，采购人应在供应商提出验收申请1个工作日内完成验收，同时在平顶山市政府采购网发布验收结果公告；</w:t>
            </w:r>
          </w:p>
          <w:p w14:paraId="1EC6FFE3">
            <w:pPr>
              <w:rPr>
                <w:rFonts w:hint="eastAsia" w:ascii="宋体" w:hAnsi="宋体" w:cs="宋体"/>
                <w:szCs w:val="21"/>
              </w:rPr>
            </w:pPr>
            <w:r>
              <w:rPr>
                <w:rFonts w:hint="eastAsia" w:ascii="宋体" w:hAnsi="宋体" w:cs="宋体"/>
                <w:szCs w:val="21"/>
              </w:rPr>
              <w:t>（4）验收合格具备付款条件的项目，采购人要在1个工作日内按照合同约定支付项目资金。</w:t>
            </w:r>
          </w:p>
          <w:p w14:paraId="294EA90C">
            <w:pPr>
              <w:rPr>
                <w:rFonts w:hint="eastAsia" w:ascii="宋体" w:hAnsi="宋体" w:cs="宋体"/>
                <w:szCs w:val="21"/>
              </w:rPr>
            </w:pPr>
            <w:r>
              <w:rPr>
                <w:rFonts w:hint="eastAsia" w:ascii="宋体" w:hAnsi="宋体" w:cs="宋体"/>
                <w:szCs w:val="21"/>
              </w:rPr>
              <w:t>二、维护企业在政府采购活动中的知情权</w:t>
            </w:r>
          </w:p>
          <w:p w14:paraId="5D092C41">
            <w:pPr>
              <w:rPr>
                <w:rFonts w:hint="eastAsia" w:ascii="宋体" w:hAnsi="宋体" w:cs="宋体"/>
                <w:szCs w:val="21"/>
              </w:rPr>
            </w:pPr>
            <w:r>
              <w:rPr>
                <w:rFonts w:hint="eastAsia" w:ascii="宋体" w:hAnsi="宋体" w:cs="宋体"/>
                <w:szCs w:val="21"/>
              </w:rPr>
              <w:t>采用公开招标采购方式的政府采购项目，在公告中标结果的同时，对未通过资格审查的投标人，采购人或者采购代理机构应告知其未通过的原因；采用综合评分法评审的，还应当告知未中标人本人的评审得分与排序。采用竞争性谈判、竞争性磋商、询价、单一来源采购方式的政府采购项目，对供应商未实质性响应的文件按无效响应处理的，采购人或者采购代理机构应当告知供应商原因。</w:t>
            </w:r>
          </w:p>
          <w:p w14:paraId="2DDF4BF3">
            <w:pPr>
              <w:rPr>
                <w:rFonts w:hint="eastAsia" w:ascii="宋体" w:hAnsi="宋体" w:cs="宋体"/>
                <w:szCs w:val="21"/>
              </w:rPr>
            </w:pPr>
            <w:r>
              <w:rPr>
                <w:rFonts w:hint="eastAsia" w:ascii="宋体" w:hAnsi="宋体" w:cs="宋体"/>
                <w:szCs w:val="21"/>
              </w:rPr>
              <w:t>三、提供中小企业声明函格式</w:t>
            </w:r>
          </w:p>
          <w:p w14:paraId="5982066F">
            <w:pPr>
              <w:rPr>
                <w:rFonts w:hint="eastAsia" w:ascii="宋体" w:hAnsi="宋体" w:cs="宋体"/>
                <w:szCs w:val="21"/>
              </w:rPr>
            </w:pPr>
            <w:r>
              <w:rPr>
                <w:rFonts w:hint="eastAsia" w:ascii="宋体" w:hAnsi="宋体" w:cs="宋体"/>
                <w:szCs w:val="21"/>
              </w:rPr>
              <w:t>在采购文件中，采购代理机构应按照财政部、工信部印发的《政府采购促进中小企业发展管理办法》的通知精神（财库〔2020〕46号）提供中小企业声明函格式。</w:t>
            </w:r>
          </w:p>
          <w:p w14:paraId="2CB963F7">
            <w:pPr>
              <w:rPr>
                <w:rFonts w:hint="eastAsia" w:ascii="宋体" w:hAnsi="宋体" w:cs="宋体"/>
                <w:szCs w:val="21"/>
              </w:rPr>
            </w:pPr>
            <w:r>
              <w:rPr>
                <w:rFonts w:hint="eastAsia" w:ascii="宋体" w:hAnsi="宋体" w:cs="宋体"/>
                <w:szCs w:val="21"/>
              </w:rPr>
              <w:t>根据《政府采购促进中小企业发展管理办法》（财库〔2020〕46号）第四条：在政府采购活动中，供应商提供的货物、工程或者服务符合下列情形的，享受本办法规定的中小企业扶持政策：</w:t>
            </w:r>
          </w:p>
          <w:p w14:paraId="081AA139">
            <w:pPr>
              <w:rPr>
                <w:rFonts w:hint="eastAsia" w:ascii="宋体" w:hAnsi="宋体" w:cs="宋体"/>
                <w:szCs w:val="21"/>
              </w:rPr>
            </w:pPr>
            <w:r>
              <w:rPr>
                <w:rFonts w:hint="eastAsia" w:ascii="宋体" w:hAnsi="宋体" w:cs="宋体"/>
                <w:szCs w:val="21"/>
              </w:rPr>
              <w:t>（一）在货物采购项目中，货物由中小企业制造，即货物由中小企业生产且使用该中小企业商号或者注册商标；</w:t>
            </w:r>
          </w:p>
          <w:p w14:paraId="14302C0C">
            <w:pPr>
              <w:rPr>
                <w:rFonts w:hint="eastAsia" w:ascii="宋体" w:hAnsi="宋体" w:cs="宋体"/>
                <w:szCs w:val="21"/>
              </w:rPr>
            </w:pPr>
            <w:r>
              <w:rPr>
                <w:rFonts w:hint="eastAsia" w:ascii="宋体" w:hAnsi="宋体" w:cs="宋体"/>
                <w:szCs w:val="21"/>
              </w:rPr>
              <w:t>（二）在工程采购项目中，工程由中小企业承建，即工程施工单位为中小企业；</w:t>
            </w:r>
          </w:p>
          <w:p w14:paraId="12D4FC7E">
            <w:pPr>
              <w:rPr>
                <w:rFonts w:hint="eastAsia" w:ascii="宋体" w:hAnsi="宋体" w:cs="宋体"/>
                <w:szCs w:val="21"/>
              </w:rPr>
            </w:pPr>
            <w:r>
              <w:rPr>
                <w:rFonts w:hint="eastAsia" w:ascii="宋体" w:hAnsi="宋体" w:cs="宋体"/>
                <w:szCs w:val="21"/>
              </w:rPr>
              <w:t>（三）在服务采购项目中，服务由中小企业承接，即提供服务的人员为中小企业依照《中华人民共和国劳动合同法》订立劳动合同的从业人员。</w:t>
            </w:r>
          </w:p>
          <w:p w14:paraId="336E940A">
            <w:pPr>
              <w:rPr>
                <w:rFonts w:hint="eastAsia" w:ascii="宋体" w:hAnsi="宋体" w:cs="宋体"/>
                <w:szCs w:val="21"/>
              </w:rPr>
            </w:pPr>
            <w:r>
              <w:rPr>
                <w:rFonts w:hint="eastAsia" w:ascii="宋体" w:hAnsi="宋体" w:cs="宋体"/>
                <w:szCs w:val="21"/>
              </w:rPr>
              <w:t>在货物采购项目中，供应商提供的货物既有中小企业制造货物，也有大型企业制造货物的，不享受本办法规定的中小企业扶持政策。</w:t>
            </w:r>
          </w:p>
          <w:p w14:paraId="57BE7DF4">
            <w:pPr>
              <w:rPr>
                <w:rFonts w:hint="eastAsia" w:ascii="宋体" w:hAnsi="宋体" w:cs="宋体"/>
                <w:szCs w:val="21"/>
              </w:rPr>
            </w:pPr>
            <w:r>
              <w:rPr>
                <w:rFonts w:hint="eastAsia" w:ascii="宋体" w:hAnsi="宋体" w:cs="宋体"/>
                <w:szCs w:val="21"/>
              </w:rPr>
              <w:t>以联合体形式参加政府采购活动，联合体各方均为中小企业的，联合体视同中小企业。其中，联合体各方均为小微企业的，联合体视同小微企业。</w:t>
            </w:r>
          </w:p>
          <w:p w14:paraId="0C0B68F9">
            <w:pPr>
              <w:rPr>
                <w:rFonts w:hint="eastAsia" w:ascii="宋体" w:hAnsi="宋体" w:cs="宋体"/>
                <w:szCs w:val="21"/>
              </w:rPr>
            </w:pPr>
            <w:r>
              <w:rPr>
                <w:rFonts w:hint="eastAsia" w:ascii="宋体" w:hAnsi="宋体" w:cs="宋体"/>
                <w:szCs w:val="21"/>
              </w:rPr>
              <w:t>四、推广政府采购合同融资</w:t>
            </w:r>
          </w:p>
          <w:p w14:paraId="0AC4482B">
            <w:pPr>
              <w:rPr>
                <w:rFonts w:hint="eastAsia" w:ascii="宋体" w:hAnsi="宋体" w:cs="宋体"/>
                <w:szCs w:val="21"/>
              </w:rPr>
            </w:pPr>
            <w:r>
              <w:rPr>
                <w:rFonts w:hint="eastAsia" w:ascii="宋体" w:hAnsi="宋体" w:cs="宋体"/>
                <w:szCs w:val="21"/>
              </w:rPr>
              <w:t>要求采购人和代理机构将“政府采购合同融资告知函”写入招标文件，鼓励中标供应商凭借采购合同申请贷款，助力解决中小企业融资难、融资贵的问题。</w:t>
            </w:r>
          </w:p>
          <w:p w14:paraId="4EAE94FD">
            <w:pPr>
              <w:rPr>
                <w:rFonts w:hint="eastAsia" w:ascii="宋体" w:hAnsi="宋体" w:cs="宋体"/>
                <w:szCs w:val="21"/>
              </w:rPr>
            </w:pPr>
            <w:r>
              <w:rPr>
                <w:rFonts w:hint="eastAsia" w:ascii="宋体" w:hAnsi="宋体" w:cs="宋体"/>
                <w:szCs w:val="21"/>
              </w:rPr>
              <w:t>五、落实预留采购份额</w:t>
            </w:r>
          </w:p>
          <w:p w14:paraId="0144037A">
            <w:pPr>
              <w:rPr>
                <w:rFonts w:hint="eastAsia" w:ascii="宋体" w:hAnsi="宋体" w:cs="宋体"/>
                <w:szCs w:val="21"/>
              </w:rPr>
            </w:pPr>
            <w:r>
              <w:rPr>
                <w:rFonts w:hint="eastAsia" w:ascii="宋体" w:hAnsi="宋体" w:cs="宋体"/>
                <w:szCs w:val="21"/>
              </w:rPr>
              <w:t>采购人应当按照财政部、工信部印发的《政府采购促进中小企业发展管理办法》的通知精神（财库〔2020〕46号）组织评估本部门及所属单位政府采购项目，统筹制定面向中小企业预留采购份额的具体方案，对适宜由中小企业提供的采购项目和采购包，预留采购份额专门面向中小企业采购，并在政府采购预算中单独列示。采购限额标准以上，200万元以下的货物和服务采购项目、400万元以下的工程采购项目，适宜由中小企业提供的，采购单位应当专门面向中小企业采购。超过200万元的货物和服务采购项目、超过400 万元的工程采购项目中适宜由中小企业提供的，预留该部分采购项目预算总额的30%以上专门面向中小企业采购，其中预留给小微企业的比例不低于60%。确实不适宜由中小企业提供的，应当参照《政府采购促进中小企业发展管理办法》第六条在采购文件中说明理由。按照平顶山市财政局出台的《平顶山市财政局关于进一步加大政府采购支持中小企业力度的通知》（平财购〔2022〕8号）的规定：超过400万元的工程采购项目中适宜由中小企业提供的，采购人在坚持公开公正、公平竞争原则和统一质量标准的前提下，2022年下半年面向中小企业的预留份额由30%以上阶段性提高至40%以上，其中预留给小微企业的比例不低于60%。</w:t>
            </w:r>
          </w:p>
          <w:p w14:paraId="5B509ADB">
            <w:pPr>
              <w:rPr>
                <w:rFonts w:hint="eastAsia" w:ascii="宋体" w:hAnsi="宋体" w:cs="宋体"/>
                <w:szCs w:val="21"/>
              </w:rPr>
            </w:pPr>
            <w:r>
              <w:rPr>
                <w:rFonts w:hint="eastAsia" w:ascii="宋体" w:hAnsi="宋体" w:cs="宋体"/>
                <w:szCs w:val="21"/>
              </w:rPr>
              <w:t>六、落实价格评审优惠政策</w:t>
            </w:r>
          </w:p>
          <w:p w14:paraId="46ECD2F2">
            <w:pPr>
              <w:rPr>
                <w:rFonts w:hint="eastAsia" w:ascii="宋体" w:hAnsi="宋体" w:cs="宋体"/>
                <w:szCs w:val="21"/>
              </w:rPr>
            </w:pPr>
            <w:r>
              <w:rPr>
                <w:rFonts w:hint="eastAsia" w:ascii="宋体" w:hAnsi="宋体" w:cs="宋体"/>
                <w:szCs w:val="21"/>
              </w:rPr>
              <w:t>对于未预留份额专门面向中小企业采购的采购项目，以及预留份额项目中的非预留部分采购包，采购人、采购代理机构应当对符合《政府采购促进中小企业发展管理办法》（财库〔2020〕46号）规定的小微企业报价给予6%—10%（工程项目为 3%—5%）的扣除，用扣除后的价格参加评审。大中型企业与小微企业组成联合体或者大中型企业向小微企业分包的（联合协议或者分包意向协议约定小微企业的合同份额应占合同总金额的30%以上），给予联合体或大中型企业2%—3%（工程项目为1%—2%）的价格扣除优惠，用扣除后的价格参加评审。按照平顶山市财政局出台的《平顶山市财政局关于进一步加大政府采购支持中小企业力度的通知》（平财购〔2022〕8号）的规定：采购人在货物和服务采购项目中， 对于经主管预算单位统筹后未预留份额专门面向中小企业的采购项目，以及预留份额项目中的非预留部分采购包，给予小微企业10%—20%的价格扣除优惠。大中型企业与小微企业组成联合体或者大中型企业向小微企业分包的（联合协议或者分包意向协议约定小微企业的合同份额应占合同总金额的30%以上），给予联合体或大中型企业4%—6%的价格扣除优惠，用扣除后的价格参加评审。鼓励采购人结合采购标的相关行业平均利润率、市场竞争状况等从高选择价格扣除比例和评审优惠幅度，支持中小企业发展。上述政策应当在评审办法中注明确定值。</w:t>
            </w:r>
          </w:p>
          <w:p w14:paraId="228B5CE8">
            <w:pPr>
              <w:rPr>
                <w:rFonts w:hint="eastAsia" w:ascii="宋体" w:hAnsi="宋体" w:cs="宋体"/>
                <w:szCs w:val="21"/>
              </w:rPr>
            </w:pPr>
            <w:r>
              <w:rPr>
                <w:rFonts w:hint="eastAsia" w:ascii="宋体" w:hAnsi="宋体" w:cs="宋体"/>
                <w:szCs w:val="21"/>
              </w:rPr>
              <w:t>本项目专门面向中小企业采购，不再执行价格评审优惠的扶持政策。</w:t>
            </w:r>
          </w:p>
        </w:tc>
      </w:tr>
      <w:tr w14:paraId="66A3C72F">
        <w:tblPrEx>
          <w:tblCellMar>
            <w:top w:w="0" w:type="dxa"/>
            <w:left w:w="108" w:type="dxa"/>
            <w:bottom w:w="0" w:type="dxa"/>
            <w:right w:w="108" w:type="dxa"/>
          </w:tblCellMar>
        </w:tblPrEx>
        <w:trPr>
          <w:trHeight w:val="1548"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281CB48">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4</w:t>
            </w:r>
          </w:p>
        </w:tc>
        <w:tc>
          <w:tcPr>
            <w:tcW w:w="1985" w:type="dxa"/>
            <w:tcBorders>
              <w:top w:val="single" w:color="auto" w:sz="4" w:space="0"/>
              <w:left w:val="single" w:color="auto" w:sz="4" w:space="0"/>
              <w:bottom w:val="single" w:color="auto" w:sz="4" w:space="0"/>
              <w:right w:val="single" w:color="auto" w:sz="4" w:space="0"/>
            </w:tcBorders>
            <w:vAlign w:val="center"/>
          </w:tcPr>
          <w:p w14:paraId="3211FDF2">
            <w:pPr>
              <w:rPr>
                <w:rFonts w:hint="eastAsia" w:ascii="宋体" w:hAnsi="宋体" w:cs="宋体"/>
                <w:szCs w:val="21"/>
              </w:rPr>
            </w:pPr>
            <w:r>
              <w:rPr>
                <w:rFonts w:hint="eastAsia" w:ascii="宋体" w:hAnsi="宋体" w:cs="宋体"/>
                <w:szCs w:val="21"/>
              </w:rPr>
              <w:t>四方信用评价</w:t>
            </w:r>
          </w:p>
        </w:tc>
        <w:tc>
          <w:tcPr>
            <w:tcW w:w="6179" w:type="dxa"/>
            <w:tcBorders>
              <w:top w:val="single" w:color="auto" w:sz="4" w:space="0"/>
              <w:left w:val="single" w:color="auto" w:sz="4" w:space="0"/>
              <w:bottom w:val="single" w:color="auto" w:sz="4" w:space="0"/>
              <w:right w:val="single" w:color="auto" w:sz="4" w:space="0"/>
            </w:tcBorders>
            <w:vAlign w:val="center"/>
          </w:tcPr>
          <w:p w14:paraId="7A46C46E">
            <w:pPr>
              <w:rPr>
                <w:rFonts w:hint="eastAsia" w:ascii="宋体" w:hAnsi="宋体" w:cs="宋体"/>
                <w:szCs w:val="21"/>
              </w:rPr>
            </w:pPr>
            <w:r>
              <w:rPr>
                <w:rFonts w:hint="eastAsia" w:ascii="宋体" w:hAnsi="宋体" w:cs="宋体"/>
                <w:szCs w:val="21"/>
              </w:rPr>
              <w:t>《河南省政府采购网》目前已增加“四方信用评价”功能。请本项目采购人、代理机构、本项目评审专家、本项目中标供应商，按照评价时间节点按时完成评价工作。</w:t>
            </w:r>
          </w:p>
          <w:p w14:paraId="644A23F5">
            <w:pPr>
              <w:rPr>
                <w:rFonts w:hint="eastAsia" w:ascii="宋体" w:hAnsi="宋体" w:cs="宋体"/>
                <w:szCs w:val="21"/>
              </w:rPr>
            </w:pPr>
            <w:r>
              <w:rPr>
                <w:rFonts w:hint="eastAsia" w:ascii="宋体" w:hAnsi="宋体" w:cs="宋体"/>
                <w:szCs w:val="21"/>
              </w:rPr>
              <w:t>时间节点在评审结束后的五个工作日内。如果超期未评价，系统会默认超期不让评价。注：请各方注意时间，避免因超期未评价影响自身信用！</w:t>
            </w:r>
          </w:p>
          <w:p w14:paraId="00EAA36C">
            <w:pPr>
              <w:rPr>
                <w:rFonts w:hint="eastAsia" w:ascii="宋体" w:hAnsi="宋体" w:cs="宋体"/>
                <w:szCs w:val="21"/>
              </w:rPr>
            </w:pPr>
            <w:r>
              <w:rPr>
                <w:rFonts w:hint="eastAsia" w:ascii="宋体" w:hAnsi="宋体" w:cs="宋体"/>
                <w:szCs w:val="21"/>
              </w:rPr>
              <w:t>1.采购人、采购代理机构应当在评审工作结束后五个工作日内对评审专家进行评价。</w:t>
            </w:r>
          </w:p>
          <w:p w14:paraId="48CAE193">
            <w:pPr>
              <w:rPr>
                <w:rFonts w:hint="eastAsia" w:ascii="宋体" w:hAnsi="宋体" w:cs="宋体"/>
                <w:szCs w:val="21"/>
              </w:rPr>
            </w:pPr>
            <w:r>
              <w:rPr>
                <w:rFonts w:hint="eastAsia" w:ascii="宋体" w:hAnsi="宋体" w:cs="宋体"/>
                <w:szCs w:val="21"/>
              </w:rPr>
              <w:t>2.采购人、评审专家、供应商应当在评审工作结束后五个工作日内对代理机构进行评价。</w:t>
            </w:r>
          </w:p>
          <w:p w14:paraId="23F32A5E">
            <w:pPr>
              <w:rPr>
                <w:rFonts w:hint="eastAsia" w:ascii="宋体" w:hAnsi="宋体" w:cs="宋体"/>
                <w:szCs w:val="21"/>
              </w:rPr>
            </w:pPr>
            <w:r>
              <w:rPr>
                <w:rFonts w:hint="eastAsia" w:ascii="宋体" w:hAnsi="宋体" w:cs="宋体"/>
                <w:szCs w:val="21"/>
              </w:rPr>
              <w:t>3.采购人应当在合同履约完成后对中标供应商进行评价。</w:t>
            </w:r>
          </w:p>
          <w:p w14:paraId="1FB19BAE">
            <w:pPr>
              <w:rPr>
                <w:rFonts w:hint="eastAsia" w:ascii="宋体" w:hAnsi="宋体" w:cs="宋体"/>
                <w:szCs w:val="21"/>
              </w:rPr>
            </w:pPr>
            <w:r>
              <w:rPr>
                <w:rFonts w:hint="eastAsia" w:ascii="宋体" w:hAnsi="宋体" w:cs="宋体"/>
                <w:szCs w:val="21"/>
              </w:rPr>
              <w:t>4.中标供应商应当在合同履约完成后对采购人进行评价。</w:t>
            </w:r>
          </w:p>
        </w:tc>
      </w:tr>
      <w:tr w14:paraId="38B164F7">
        <w:tblPrEx>
          <w:tblCellMar>
            <w:top w:w="0" w:type="dxa"/>
            <w:left w:w="108" w:type="dxa"/>
            <w:bottom w:w="0" w:type="dxa"/>
            <w:right w:w="108" w:type="dxa"/>
          </w:tblCellMar>
        </w:tblPrEx>
        <w:trPr>
          <w:trHeight w:val="137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F2D84D2">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6</w:t>
            </w:r>
          </w:p>
        </w:tc>
        <w:tc>
          <w:tcPr>
            <w:tcW w:w="1985" w:type="dxa"/>
            <w:tcBorders>
              <w:top w:val="single" w:color="auto" w:sz="4" w:space="0"/>
              <w:left w:val="single" w:color="auto" w:sz="4" w:space="0"/>
              <w:bottom w:val="single" w:color="auto" w:sz="4" w:space="0"/>
              <w:right w:val="single" w:color="auto" w:sz="4" w:space="0"/>
            </w:tcBorders>
            <w:vAlign w:val="center"/>
          </w:tcPr>
          <w:p w14:paraId="175D4B62">
            <w:pPr>
              <w:rPr>
                <w:rFonts w:hint="eastAsia" w:ascii="宋体" w:hAnsi="宋体" w:cs="宋体"/>
                <w:szCs w:val="21"/>
              </w:rPr>
            </w:pPr>
            <w:r>
              <w:rPr>
                <w:rFonts w:hint="eastAsia" w:ascii="宋体" w:hAnsi="宋体" w:cs="宋体"/>
                <w:szCs w:val="21"/>
              </w:rPr>
              <w:t>落实绿色产品（节能产品、环境标志产品）优先采购政策</w:t>
            </w:r>
          </w:p>
        </w:tc>
        <w:tc>
          <w:tcPr>
            <w:tcW w:w="6179" w:type="dxa"/>
            <w:tcBorders>
              <w:top w:val="single" w:color="auto" w:sz="4" w:space="0"/>
              <w:left w:val="single" w:color="auto" w:sz="4" w:space="0"/>
              <w:bottom w:val="single" w:color="auto" w:sz="4" w:space="0"/>
              <w:right w:val="single" w:color="auto" w:sz="4" w:space="0"/>
            </w:tcBorders>
            <w:vAlign w:val="center"/>
          </w:tcPr>
          <w:p w14:paraId="527CCE31">
            <w:pPr>
              <w:rPr>
                <w:rFonts w:hint="eastAsia" w:ascii="宋体" w:hAnsi="宋体" w:cs="宋体"/>
                <w:szCs w:val="21"/>
              </w:rPr>
            </w:pPr>
            <w:r>
              <w:rPr>
                <w:rFonts w:hint="eastAsia" w:ascii="宋体" w:hAnsi="宋体" w:cs="宋体"/>
                <w:szCs w:val="21"/>
              </w:rPr>
              <w:t>不适用</w:t>
            </w:r>
          </w:p>
        </w:tc>
      </w:tr>
      <w:tr w14:paraId="54578E73">
        <w:tblPrEx>
          <w:tblCellMar>
            <w:top w:w="0" w:type="dxa"/>
            <w:left w:w="108" w:type="dxa"/>
            <w:bottom w:w="0" w:type="dxa"/>
            <w:right w:w="108" w:type="dxa"/>
          </w:tblCellMar>
        </w:tblPrEx>
        <w:trPr>
          <w:trHeight w:val="1250"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2F89B9ED">
            <w:pPr>
              <w:rPr>
                <w:rFonts w:hint="eastAsia" w:ascii="宋体" w:hAnsi="宋体" w:eastAsia="宋体" w:cs="宋体"/>
                <w:szCs w:val="21"/>
                <w:lang w:val="en-US" w:eastAsia="zh-CN"/>
              </w:rPr>
            </w:pPr>
            <w:r>
              <w:rPr>
                <w:rFonts w:hint="eastAsia" w:ascii="宋体" w:hAnsi="宋体" w:cs="宋体"/>
                <w:szCs w:val="21"/>
              </w:rPr>
              <w:t>3</w:t>
            </w:r>
            <w:r>
              <w:rPr>
                <w:rFonts w:hint="eastAsia" w:ascii="宋体" w:hAnsi="宋体" w:cs="宋体"/>
                <w:szCs w:val="21"/>
                <w:lang w:val="en-US" w:eastAsia="zh-CN"/>
              </w:rPr>
              <w:t>6</w:t>
            </w:r>
          </w:p>
        </w:tc>
        <w:tc>
          <w:tcPr>
            <w:tcW w:w="1985" w:type="dxa"/>
            <w:tcBorders>
              <w:top w:val="single" w:color="auto" w:sz="4" w:space="0"/>
              <w:left w:val="single" w:color="auto" w:sz="4" w:space="0"/>
              <w:bottom w:val="single" w:color="auto" w:sz="4" w:space="0"/>
              <w:right w:val="single" w:color="auto" w:sz="4" w:space="0"/>
            </w:tcBorders>
            <w:vAlign w:val="center"/>
          </w:tcPr>
          <w:p w14:paraId="4ACA61A2">
            <w:pPr>
              <w:rPr>
                <w:rFonts w:hint="eastAsia" w:ascii="宋体" w:hAnsi="宋体" w:cs="宋体"/>
                <w:b/>
                <w:bCs/>
                <w:szCs w:val="21"/>
              </w:rPr>
            </w:pPr>
            <w:r>
              <w:rPr>
                <w:rFonts w:hint="eastAsia" w:ascii="宋体" w:hAnsi="宋体" w:cs="宋体"/>
                <w:b/>
                <w:bCs/>
                <w:szCs w:val="21"/>
              </w:rPr>
              <w:t>本项目对应的中小企业划分标准所属行业</w:t>
            </w:r>
          </w:p>
        </w:tc>
        <w:tc>
          <w:tcPr>
            <w:tcW w:w="6179" w:type="dxa"/>
            <w:tcBorders>
              <w:top w:val="single" w:color="auto" w:sz="4" w:space="0"/>
              <w:left w:val="single" w:color="auto" w:sz="4" w:space="0"/>
              <w:bottom w:val="single" w:color="auto" w:sz="4" w:space="0"/>
              <w:right w:val="single" w:color="auto" w:sz="4" w:space="0"/>
            </w:tcBorders>
            <w:vAlign w:val="center"/>
          </w:tcPr>
          <w:p w14:paraId="0DB144C4">
            <w:pPr>
              <w:rPr>
                <w:rFonts w:hint="eastAsia" w:ascii="宋体" w:hAnsi="宋体" w:cs="宋体"/>
                <w:b/>
                <w:bCs/>
                <w:szCs w:val="21"/>
              </w:rPr>
            </w:pPr>
            <w:r>
              <w:rPr>
                <w:rFonts w:hint="eastAsia" w:ascii="宋体" w:hAnsi="宋体" w:cs="宋体"/>
                <w:b/>
                <w:bCs/>
                <w:szCs w:val="21"/>
              </w:rPr>
              <w:t>采购标的所属行业：软件和信息技术服务业</w:t>
            </w:r>
          </w:p>
          <w:p w14:paraId="0893B298">
            <w:pPr>
              <w:rPr>
                <w:rFonts w:hint="eastAsia" w:ascii="宋体" w:hAnsi="宋体" w:cs="宋体"/>
                <w:b/>
                <w:bCs/>
                <w:szCs w:val="21"/>
              </w:rPr>
            </w:pPr>
            <w:r>
              <w:rPr>
                <w:rFonts w:hint="eastAsia" w:ascii="宋体" w:hAnsi="宋体" w:cs="宋体"/>
                <w:b/>
                <w:bCs/>
                <w:szCs w:val="21"/>
              </w:rPr>
              <w:t>划定标准为：中小微企业划分按照《国家统计局关于印发&lt;统计上大中小微型企业划分办法（2017）&gt;的通知》国统字【2017】213号文件及《工业和信息化部、国家统计局、国家发展和改革委员会、财政部关于印发&lt; 中小企业划型标准规定&gt;（工信部联企业〔2011〕300 号）规定的划分标准为依据。</w:t>
            </w:r>
          </w:p>
        </w:tc>
      </w:tr>
      <w:tr w14:paraId="68C767FC">
        <w:tblPrEx>
          <w:tblCellMar>
            <w:top w:w="0" w:type="dxa"/>
            <w:left w:w="108" w:type="dxa"/>
            <w:bottom w:w="0" w:type="dxa"/>
            <w:right w:w="108" w:type="dxa"/>
          </w:tblCellMar>
        </w:tblPrEx>
        <w:trPr>
          <w:trHeight w:val="925" w:hRule="atLeast"/>
          <w:jc w:val="center"/>
        </w:trPr>
        <w:tc>
          <w:tcPr>
            <w:tcW w:w="9242" w:type="dxa"/>
            <w:gridSpan w:val="3"/>
            <w:tcBorders>
              <w:top w:val="single" w:color="auto" w:sz="4" w:space="0"/>
              <w:left w:val="single" w:color="auto" w:sz="4" w:space="0"/>
              <w:bottom w:val="single" w:color="auto" w:sz="4" w:space="0"/>
              <w:right w:val="single" w:color="auto" w:sz="4" w:space="0"/>
            </w:tcBorders>
            <w:vAlign w:val="center"/>
          </w:tcPr>
          <w:p w14:paraId="581DFEB1">
            <w:pPr>
              <w:rPr>
                <w:rFonts w:hint="eastAsia" w:ascii="宋体" w:hAnsi="宋体" w:cs="宋体"/>
                <w:szCs w:val="21"/>
              </w:rPr>
            </w:pPr>
            <w:bookmarkStart w:id="10" w:name="_Toc179632546"/>
            <w:bookmarkStart w:id="11" w:name="_Toc152045529"/>
            <w:bookmarkStart w:id="12" w:name="_Toc144974497"/>
            <w:bookmarkStart w:id="13" w:name="_Toc25945"/>
            <w:bookmarkStart w:id="14" w:name="_Toc152042305"/>
            <w:r>
              <w:rPr>
                <w:rFonts w:hint="eastAsia" w:ascii="宋体" w:hAnsi="宋体" w:cs="宋体"/>
                <w:szCs w:val="21"/>
              </w:rPr>
              <w:t>合同签订：按《关于在工程建设、政府采购领域全面实施合同在线签订的通知》（平公管办【2022】8号）文件要求，实施在线签订合同。</w:t>
            </w:r>
          </w:p>
        </w:tc>
      </w:tr>
      <w:tr w14:paraId="09FB6683">
        <w:tblPrEx>
          <w:tblCellMar>
            <w:top w:w="0" w:type="dxa"/>
            <w:left w:w="108" w:type="dxa"/>
            <w:bottom w:w="0" w:type="dxa"/>
            <w:right w:w="108" w:type="dxa"/>
          </w:tblCellMar>
        </w:tblPrEx>
        <w:trPr>
          <w:trHeight w:val="1250" w:hRule="atLeast"/>
          <w:jc w:val="center"/>
        </w:trPr>
        <w:tc>
          <w:tcPr>
            <w:tcW w:w="9242" w:type="dxa"/>
            <w:gridSpan w:val="3"/>
            <w:tcBorders>
              <w:top w:val="single" w:color="auto" w:sz="4" w:space="0"/>
              <w:left w:val="single" w:color="auto" w:sz="4" w:space="0"/>
              <w:bottom w:val="single" w:color="auto" w:sz="4" w:space="0"/>
              <w:right w:val="single" w:color="auto" w:sz="4" w:space="0"/>
            </w:tcBorders>
            <w:vAlign w:val="center"/>
          </w:tcPr>
          <w:p w14:paraId="44501685">
            <w:pPr>
              <w:rPr>
                <w:rFonts w:hint="eastAsia" w:ascii="宋体" w:hAnsi="宋体" w:cs="宋体"/>
                <w:szCs w:val="21"/>
              </w:rPr>
            </w:pPr>
            <w:r>
              <w:rPr>
                <w:rFonts w:hint="eastAsia" w:ascii="宋体" w:hAnsi="宋体" w:cs="宋体"/>
                <w:szCs w:val="21"/>
              </w:rPr>
              <w:t>按照《政府采购促进中小企业发展管理办法》（财库〔2020〕46 号）、《关于印发中小企业划型标准规定的通知》工信部联企业〔2011〕300 号及《关于政府采购促进小型微型企业发展的实施意见》（豫财购[2013]14 号）、财政部、司法部关于政府采购支持监狱企业发展有关问题的通知（财库 根据上述要求计算得出的价格仅限于评[2014]68 号）的要求，财政部民政部中国残疾人联合会《关于促进残疾人就业政府采购政策的通知》（财库） [2017]141 号规定。中小企业需提供《中小企业声明函》，否则不予认可。残疾人福利性单位在参加采购活动时，应当提供本通知规定的《残疾人福利性单位声明函》，并对声明的真实性负责。</w:t>
            </w:r>
          </w:p>
          <w:p w14:paraId="755BC085">
            <w:pPr>
              <w:rPr>
                <w:rFonts w:hint="eastAsia" w:ascii="宋体" w:hAnsi="宋体" w:cs="宋体"/>
                <w:szCs w:val="21"/>
              </w:rPr>
            </w:pPr>
            <w:r>
              <w:rPr>
                <w:rFonts w:hint="eastAsia" w:ascii="宋体" w:hAnsi="宋体" w:cs="宋体"/>
                <w:szCs w:val="21"/>
              </w:rPr>
              <w:t>投标时使用，对成交价格没有任何影响。投标人若不符合上述规定的或不能提供有效的证明资料，评标委员会将按照评标方法及标准中规定的方式计算。同一投标人，中小微企业产品、监狱企业产品、残疾人福利性单位</w:t>
            </w:r>
          </w:p>
          <w:p w14:paraId="6AE26009">
            <w:pPr>
              <w:rPr>
                <w:rFonts w:hint="eastAsia" w:ascii="宋体" w:hAnsi="宋体" w:cs="宋体"/>
                <w:szCs w:val="21"/>
              </w:rPr>
            </w:pPr>
            <w:r>
              <w:rPr>
                <w:rFonts w:hint="eastAsia" w:ascii="宋体" w:hAnsi="宋体" w:cs="宋体"/>
                <w:szCs w:val="21"/>
              </w:rPr>
              <w:t>价格扣除优惠只享受一次，不得重复享受。</w:t>
            </w:r>
          </w:p>
        </w:tc>
      </w:tr>
    </w:tbl>
    <w:p w14:paraId="5DE182A5">
      <w:pPr>
        <w:keepNext/>
        <w:keepLines/>
        <w:pageBreakBefore w:val="0"/>
        <w:widowControl w:val="0"/>
        <w:kinsoku/>
        <w:wordWrap/>
        <w:autoSpaceDE/>
        <w:autoSpaceDN/>
        <w:bidi w:val="0"/>
        <w:adjustRightInd/>
        <w:snapToGrid/>
        <w:spacing w:before="100" w:line="360" w:lineRule="auto"/>
        <w:outlineLvl w:val="1"/>
        <w:rPr>
          <w:rFonts w:hint="eastAsia" w:ascii="宋体" w:hAnsi="宋体" w:cs="宋体"/>
          <w:b/>
          <w:color w:val="000000"/>
          <w:szCs w:val="21"/>
        </w:rPr>
      </w:pPr>
      <w:r>
        <w:rPr>
          <w:rFonts w:hint="eastAsia" w:ascii="宋体" w:hAnsi="宋体" w:cs="宋体"/>
          <w:b/>
          <w:color w:val="000000"/>
          <w:szCs w:val="21"/>
        </w:rPr>
        <w:t>1. 总则</w:t>
      </w:r>
      <w:bookmarkEnd w:id="10"/>
      <w:bookmarkEnd w:id="11"/>
      <w:bookmarkEnd w:id="12"/>
      <w:bookmarkEnd w:id="13"/>
      <w:bookmarkEnd w:id="14"/>
    </w:p>
    <w:p w14:paraId="70652F8D">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15" w:name="_Toc179632547"/>
      <w:bookmarkStart w:id="16" w:name="_Toc152042306"/>
      <w:bookmarkStart w:id="17" w:name="_Toc28137"/>
      <w:bookmarkStart w:id="18" w:name="_Toc152045530"/>
      <w:bookmarkStart w:id="19" w:name="_Toc144974498"/>
      <w:r>
        <w:rPr>
          <w:rFonts w:hint="eastAsia" w:ascii="宋体" w:hAnsi="宋体" w:cs="宋体"/>
          <w:b/>
          <w:color w:val="000000"/>
          <w:szCs w:val="21"/>
        </w:rPr>
        <w:t>1.1 项目概况</w:t>
      </w:r>
      <w:bookmarkEnd w:id="15"/>
      <w:bookmarkEnd w:id="16"/>
      <w:bookmarkEnd w:id="17"/>
      <w:bookmarkEnd w:id="18"/>
      <w:bookmarkEnd w:id="19"/>
    </w:p>
    <w:p w14:paraId="3FB02635">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1.1.1根据有关法律、法规和规章的规定，本招标项目已具备招标条件，现对本项目进行招标。</w:t>
      </w:r>
    </w:p>
    <w:p w14:paraId="3042AFB8">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1.1.2 本招标项目采购人：</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5E75CEC2">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1.1.3 本招标项目采购代理机构：</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4B39A23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1.1.4 本招标项目名称：</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AFAF97A">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1.1.5 本招标项目服务地点：</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5276A028">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20" w:name="_Toc144974499"/>
      <w:bookmarkStart w:id="21" w:name="_Toc152042307"/>
      <w:bookmarkStart w:id="22" w:name="_Toc152045531"/>
      <w:bookmarkStart w:id="23" w:name="_Toc6498"/>
      <w:bookmarkStart w:id="24" w:name="_Toc179632548"/>
      <w:r>
        <w:rPr>
          <w:rFonts w:hint="eastAsia" w:ascii="宋体" w:hAnsi="宋体" w:cs="宋体"/>
          <w:b/>
          <w:color w:val="000000"/>
          <w:szCs w:val="21"/>
        </w:rPr>
        <w:t>1.2 资金来源和落实情况</w:t>
      </w:r>
      <w:bookmarkEnd w:id="20"/>
      <w:bookmarkEnd w:id="21"/>
      <w:bookmarkEnd w:id="22"/>
      <w:bookmarkEnd w:id="23"/>
      <w:bookmarkEnd w:id="24"/>
    </w:p>
    <w:p w14:paraId="3470E76D">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1.2.1 本招标项目的资金来源：</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22CEA0E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1.2.2 本招标项目的出资比例：</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2E74623B">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1.2.3 本招标项目的资金落实情况：</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524DFAE">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25" w:name="_Toc144974500"/>
      <w:bookmarkStart w:id="26" w:name="_Toc31209"/>
      <w:bookmarkStart w:id="27" w:name="_Toc179632549"/>
      <w:bookmarkStart w:id="28" w:name="_Toc152045532"/>
      <w:bookmarkStart w:id="29" w:name="_Toc152042308"/>
      <w:r>
        <w:rPr>
          <w:rFonts w:hint="eastAsia" w:ascii="宋体" w:hAnsi="宋体" w:cs="宋体"/>
          <w:b/>
          <w:color w:val="000000"/>
          <w:szCs w:val="21"/>
        </w:rPr>
        <w:t>1.3 采购范围、供货安装期和</w:t>
      </w:r>
      <w:bookmarkEnd w:id="25"/>
      <w:bookmarkEnd w:id="26"/>
      <w:bookmarkEnd w:id="27"/>
      <w:bookmarkEnd w:id="28"/>
      <w:bookmarkEnd w:id="29"/>
      <w:r>
        <w:rPr>
          <w:rFonts w:hint="eastAsia" w:ascii="宋体" w:hAnsi="宋体" w:cs="宋体"/>
          <w:b/>
          <w:color w:val="000000"/>
          <w:szCs w:val="21"/>
        </w:rPr>
        <w:t>服务质量</w:t>
      </w:r>
    </w:p>
    <w:p w14:paraId="17AEA617">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1.3.1 本次采购范围：</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1727615F">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1.3.2 </w:t>
      </w:r>
      <w:r>
        <w:rPr>
          <w:rFonts w:hint="eastAsia" w:ascii="宋体" w:hAnsi="宋体" w:cs="宋体"/>
          <w:snapToGrid w:val="0"/>
          <w:kern w:val="0"/>
          <w:szCs w:val="21"/>
        </w:rPr>
        <w:t>本招标项目的运维服务期限要求</w:t>
      </w:r>
      <w:r>
        <w:rPr>
          <w:rFonts w:hint="eastAsia" w:ascii="宋体" w:hAnsi="宋体" w:cs="宋体"/>
          <w:color w:val="000000"/>
          <w:szCs w:val="21"/>
        </w:rPr>
        <w:t>：</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9A00FB0">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1.3.3 </w:t>
      </w:r>
      <w:r>
        <w:rPr>
          <w:rFonts w:hint="eastAsia" w:ascii="宋体" w:hAnsi="宋体" w:cs="宋体"/>
          <w:snapToGrid w:val="0"/>
          <w:kern w:val="0"/>
          <w:szCs w:val="21"/>
        </w:rPr>
        <w:t>本招标项目的服务质量</w:t>
      </w:r>
      <w:r>
        <w:rPr>
          <w:rFonts w:hint="eastAsia" w:ascii="宋体" w:hAnsi="宋体" w:cs="宋体"/>
          <w:color w:val="000000"/>
          <w:szCs w:val="21"/>
        </w:rPr>
        <w:t>：</w:t>
      </w:r>
      <w:r>
        <w:rPr>
          <w:rFonts w:hint="eastAsia" w:ascii="宋体" w:hAnsi="宋体" w:cs="宋体"/>
          <w:szCs w:val="21"/>
        </w:rPr>
        <w:t>见</w:t>
      </w:r>
      <w:r>
        <w:rPr>
          <w:rFonts w:hint="eastAsia" w:ascii="宋体" w:hAnsi="宋体" w:cs="宋体"/>
          <w:snapToGrid w:val="0"/>
          <w:kern w:val="0"/>
          <w:szCs w:val="21"/>
        </w:rPr>
        <w:t>投标人须知</w:t>
      </w:r>
      <w:r>
        <w:rPr>
          <w:rFonts w:hint="eastAsia" w:ascii="宋体" w:hAnsi="宋体" w:cs="宋体"/>
          <w:szCs w:val="21"/>
        </w:rPr>
        <w:t>前附表</w:t>
      </w:r>
      <w:r>
        <w:rPr>
          <w:rFonts w:hint="eastAsia" w:ascii="宋体" w:hAnsi="宋体" w:cs="宋体"/>
          <w:color w:val="000000"/>
          <w:szCs w:val="21"/>
        </w:rPr>
        <w:t>。</w:t>
      </w:r>
    </w:p>
    <w:p w14:paraId="3CC2F2B6">
      <w:pPr>
        <w:keepNext/>
        <w:keepLines/>
        <w:pageBreakBefore w:val="0"/>
        <w:widowControl w:val="0"/>
        <w:kinsoku/>
        <w:wordWrap/>
        <w:autoSpaceDE/>
        <w:autoSpaceDN/>
        <w:bidi w:val="0"/>
        <w:adjustRightInd/>
        <w:snapToGrid/>
        <w:spacing w:line="360" w:lineRule="auto"/>
        <w:outlineLvl w:val="2"/>
        <w:rPr>
          <w:rFonts w:hint="eastAsia" w:ascii="宋体" w:hAnsi="宋体" w:cs="宋体"/>
          <w:b/>
          <w:color w:val="000000"/>
          <w:szCs w:val="21"/>
        </w:rPr>
      </w:pPr>
      <w:bookmarkStart w:id="30" w:name="_Toc179632551"/>
      <w:bookmarkStart w:id="31" w:name="_Toc152042310"/>
      <w:bookmarkStart w:id="32" w:name="_Toc144974502"/>
      <w:bookmarkStart w:id="33" w:name="_Toc22575"/>
      <w:bookmarkStart w:id="34" w:name="_Toc152045534"/>
      <w:r>
        <w:rPr>
          <w:rFonts w:hint="eastAsia" w:ascii="宋体" w:hAnsi="宋体" w:cs="宋体"/>
          <w:b/>
          <w:color w:val="000000"/>
          <w:szCs w:val="21"/>
        </w:rPr>
        <w:t>1.4 投标人资格要求</w:t>
      </w:r>
      <w:bookmarkEnd w:id="30"/>
      <w:bookmarkEnd w:id="31"/>
      <w:bookmarkEnd w:id="32"/>
      <w:bookmarkEnd w:id="33"/>
      <w:bookmarkEnd w:id="34"/>
    </w:p>
    <w:p w14:paraId="44D6013B">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1.4.1 投标人应具备承担本项目的资质条件、能力和信誉：见投标人须知前附表。</w:t>
      </w:r>
    </w:p>
    <w:p w14:paraId="68B0EA1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1.4.2 本项目不接受联合体投标。</w:t>
      </w:r>
    </w:p>
    <w:p w14:paraId="50F3F720">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1.4.3 投标人不得存在下列情形之一：</w:t>
      </w:r>
    </w:p>
    <w:p w14:paraId="7D35BE17">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（1）为采购人不具有独立法人资格的附属机构（单位）； </w:t>
      </w:r>
    </w:p>
    <w:p w14:paraId="5BD669F0">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（2）为本项目前期准备提供设计或咨询服务的，但设计施工总承包的除外； </w:t>
      </w:r>
    </w:p>
    <w:p w14:paraId="1E364F89">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（3）为本项目的监理人；</w:t>
      </w:r>
    </w:p>
    <w:p w14:paraId="28131761">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（4）为本项目的代建人； </w:t>
      </w:r>
    </w:p>
    <w:p w14:paraId="2F363578">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（5）为本项目提供招标代理服务的； </w:t>
      </w:r>
    </w:p>
    <w:p w14:paraId="5FDF8028">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（6）与本项目的监理人或代建人或采购代理机构同为一个法定代表人的；</w:t>
      </w:r>
    </w:p>
    <w:p w14:paraId="13E3D466">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（7）与本项目的监理人或代建人或采购代理机构相互控股或参股的；</w:t>
      </w:r>
    </w:p>
    <w:p w14:paraId="2DBDC335">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（8）与本项目的监理人或代建人或采购代理机构相互任职或工作的；</w:t>
      </w:r>
    </w:p>
    <w:p w14:paraId="11F4CA12">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（9）被责令停业的； </w:t>
      </w:r>
    </w:p>
    <w:p w14:paraId="3F352939">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 xml:space="preserve">（10）被暂停或取消投标资格的； </w:t>
      </w:r>
    </w:p>
    <w:p w14:paraId="6102F252">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（11）财产被接管或冻结的；</w:t>
      </w:r>
    </w:p>
    <w:p w14:paraId="0CB2B2CA">
      <w:pPr>
        <w:pageBreakBefore w:val="0"/>
        <w:widowControl w:val="0"/>
        <w:kinsoku/>
        <w:wordWrap/>
        <w:autoSpaceDE/>
        <w:autoSpaceDN/>
        <w:bidi w:val="0"/>
        <w:adjustRightInd/>
        <w:snapToGrid/>
        <w:spacing w:line="360" w:lineRule="auto"/>
        <w:ind w:firstLine="718" w:firstLineChars="342"/>
        <w:rPr>
          <w:rFonts w:hint="eastAsia" w:ascii="宋体" w:hAnsi="宋体" w:cs="宋体"/>
          <w:color w:val="000000"/>
          <w:szCs w:val="21"/>
        </w:rPr>
      </w:pPr>
      <w:r>
        <w:rPr>
          <w:rFonts w:hint="eastAsia" w:ascii="宋体" w:hAnsi="宋体" w:cs="宋体"/>
          <w:color w:val="000000"/>
          <w:szCs w:val="21"/>
        </w:rPr>
        <w:t>（12）在最近三年内有骗取中标或严重违约或重大工程质量问题的。</w:t>
      </w:r>
    </w:p>
    <w:p w14:paraId="5E848F6C">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1.4.4单位负责人为同一人或者存在控股、管理关系的不同单位，不得同时参加本招标项目投标。</w:t>
      </w:r>
    </w:p>
    <w:p w14:paraId="0B5C9377">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1.5 费用承担</w:t>
      </w:r>
    </w:p>
    <w:p w14:paraId="0F40938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投标人准备和参加投标活动发生的费用自理。</w:t>
      </w:r>
    </w:p>
    <w:p w14:paraId="43CEC87C">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35" w:name="_Toc144974505"/>
      <w:bookmarkStart w:id="36" w:name="_Toc292897312"/>
      <w:bookmarkStart w:id="37" w:name="_Toc152042313"/>
      <w:bookmarkStart w:id="38" w:name="_Toc179632554"/>
      <w:bookmarkStart w:id="39" w:name="_Toc152045537"/>
      <w:r>
        <w:rPr>
          <w:rFonts w:hint="eastAsia" w:ascii="宋体" w:hAnsi="宋体" w:cs="宋体"/>
          <w:b/>
          <w:szCs w:val="21"/>
        </w:rPr>
        <w:t>1.6保密</w:t>
      </w:r>
    </w:p>
    <w:p w14:paraId="6517EBE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 xml:space="preserve">参与招标投标活动的各方应对招标文件和投标文件中的商业和技术等秘密保密，违者应对由此造成的后果承担法律责任。 </w:t>
      </w:r>
    </w:p>
    <w:p w14:paraId="3B225FED">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1.7语言</w:t>
      </w:r>
      <w:bookmarkEnd w:id="35"/>
      <w:r>
        <w:rPr>
          <w:rFonts w:hint="eastAsia" w:ascii="宋体" w:hAnsi="宋体" w:cs="宋体"/>
          <w:b/>
          <w:szCs w:val="21"/>
        </w:rPr>
        <w:t>文字</w:t>
      </w:r>
      <w:bookmarkEnd w:id="36"/>
      <w:bookmarkEnd w:id="37"/>
      <w:bookmarkEnd w:id="38"/>
      <w:bookmarkEnd w:id="39"/>
    </w:p>
    <w:p w14:paraId="1A4CBB4D">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除专用术语外，与招标投标有关的语言均使用中文。必要时专用术语应附有中文注释。</w:t>
      </w:r>
    </w:p>
    <w:p w14:paraId="1F5FACB7">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40" w:name="_Toc179632555"/>
      <w:bookmarkStart w:id="41" w:name="_Toc144974506"/>
      <w:bookmarkStart w:id="42" w:name="_Toc292897313"/>
      <w:bookmarkStart w:id="43" w:name="_Toc152042314"/>
      <w:bookmarkStart w:id="44" w:name="_Toc152045538"/>
      <w:r>
        <w:rPr>
          <w:rFonts w:hint="eastAsia" w:ascii="宋体" w:hAnsi="宋体" w:cs="宋体"/>
          <w:b/>
          <w:szCs w:val="21"/>
        </w:rPr>
        <w:t>1.8 计量单位</w:t>
      </w:r>
      <w:bookmarkEnd w:id="40"/>
      <w:bookmarkEnd w:id="41"/>
      <w:bookmarkEnd w:id="42"/>
      <w:bookmarkEnd w:id="43"/>
      <w:bookmarkEnd w:id="44"/>
    </w:p>
    <w:p w14:paraId="0D30DFF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所有计量均采用中华人民共和国法定计量单位。</w:t>
      </w:r>
    </w:p>
    <w:p w14:paraId="75AE637F">
      <w:pPr>
        <w:pageBreakBefore w:val="0"/>
        <w:widowControl w:val="0"/>
        <w:kinsoku/>
        <w:wordWrap/>
        <w:autoSpaceDE/>
        <w:autoSpaceDN/>
        <w:bidi w:val="0"/>
        <w:adjustRightInd/>
        <w:snapToGrid/>
        <w:spacing w:line="360" w:lineRule="auto"/>
        <w:outlineLvl w:val="2"/>
        <w:rPr>
          <w:rFonts w:hint="eastAsia" w:ascii="宋体" w:hAnsi="宋体" w:cs="宋体"/>
          <w:szCs w:val="21"/>
        </w:rPr>
      </w:pPr>
      <w:bookmarkStart w:id="45" w:name="_Toc152045539"/>
      <w:bookmarkStart w:id="46" w:name="_Toc152042315"/>
      <w:bookmarkStart w:id="47" w:name="_Toc292897314"/>
      <w:bookmarkStart w:id="48" w:name="_Toc179632556"/>
      <w:bookmarkStart w:id="49" w:name="_Toc144974507"/>
      <w:r>
        <w:rPr>
          <w:rFonts w:hint="eastAsia" w:ascii="宋体" w:hAnsi="宋体" w:cs="宋体"/>
          <w:b/>
          <w:szCs w:val="21"/>
        </w:rPr>
        <w:t>1.9 踏勘现场</w:t>
      </w:r>
      <w:bookmarkEnd w:id="45"/>
      <w:bookmarkEnd w:id="46"/>
      <w:bookmarkEnd w:id="47"/>
      <w:bookmarkEnd w:id="48"/>
      <w:bookmarkEnd w:id="49"/>
      <w:r>
        <w:rPr>
          <w:rFonts w:hint="eastAsia" w:ascii="宋体" w:hAnsi="宋体" w:cs="宋体"/>
          <w:b/>
          <w:szCs w:val="21"/>
        </w:rPr>
        <w:t>（不适用本项目）</w:t>
      </w:r>
    </w:p>
    <w:p w14:paraId="74D43D2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50" w:name="_Toc144974508"/>
      <w:bookmarkStart w:id="51" w:name="_Toc292897315"/>
      <w:bookmarkStart w:id="52" w:name="_Toc152045540"/>
      <w:bookmarkStart w:id="53" w:name="_Toc179632557"/>
      <w:bookmarkStart w:id="54" w:name="_Toc152042316"/>
      <w:r>
        <w:rPr>
          <w:rFonts w:hint="eastAsia" w:ascii="宋体" w:hAnsi="宋体" w:cs="宋体"/>
          <w:szCs w:val="21"/>
        </w:rPr>
        <w:t>1.9.1 投标人须知前附表规定组织踏勘现场的，采购人按投标人须知前附表规定的时间、地点组织投标人踏勘项目现场。</w:t>
      </w:r>
    </w:p>
    <w:p w14:paraId="5D02953F">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1.9.2 投标人踏勘现场发生的费用自理。</w:t>
      </w:r>
    </w:p>
    <w:p w14:paraId="6390E4A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1.9.3 除采购人的原因外，投标人自行负责在踏勘现场中所发生的人员伤亡和财产损失。</w:t>
      </w:r>
    </w:p>
    <w:p w14:paraId="356B162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1.9.4 采购人在踏勘现场中介绍的工程场地和相关的周边环境情况，投标人在编制投标文件时参考，采购人不对投标人据此作出的判断和决策负责。</w:t>
      </w:r>
    </w:p>
    <w:p w14:paraId="6921B7E7">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1.10投标预备会</w:t>
      </w:r>
      <w:bookmarkEnd w:id="50"/>
      <w:bookmarkEnd w:id="51"/>
      <w:bookmarkEnd w:id="52"/>
      <w:bookmarkEnd w:id="53"/>
      <w:bookmarkEnd w:id="54"/>
      <w:r>
        <w:rPr>
          <w:rFonts w:hint="eastAsia" w:ascii="宋体" w:hAnsi="宋体" w:cs="宋体"/>
          <w:b/>
          <w:szCs w:val="21"/>
        </w:rPr>
        <w:t>（不适用本项目）</w:t>
      </w:r>
    </w:p>
    <w:p w14:paraId="0D733C8F">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55" w:name="_Toc179632559"/>
      <w:r>
        <w:rPr>
          <w:rFonts w:hint="eastAsia" w:ascii="宋体" w:hAnsi="宋体" w:cs="宋体"/>
          <w:szCs w:val="21"/>
        </w:rPr>
        <w:t>1.10.1 投标人须知前附表规定召开投标预备会的，采购人按投标人须知前附表规定的时间和地点召开投标预备会，澄清投标人提出的问题。</w:t>
      </w:r>
    </w:p>
    <w:p w14:paraId="7A16712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1.10.2 投标人应在投标人须知前附表规定的时间前，以书面形式将提出的问题送达采购人，以便采购人在会议期间澄清。</w:t>
      </w:r>
    </w:p>
    <w:p w14:paraId="5016A018">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1.10.3 投标预备会后，采购人在投标人须知前附表规定的时间内，将对投标人所提问题的澄清，以书面方式通知所有购买招标文件的投标人。该澄清内容为招标文件的组成部分。</w:t>
      </w:r>
    </w:p>
    <w:p w14:paraId="7AF367B1">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1.11分包（不适用本项目）</w:t>
      </w:r>
    </w:p>
    <w:p w14:paraId="65DE83E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投标人拟在中标后将中标项目的部分非主体、非关键性工作进行分包的，应符合投标人须知前附表规定的分包内容、分包金额和接受分包的第三人资质要求等限制性条件。</w:t>
      </w:r>
    </w:p>
    <w:p w14:paraId="6A1D6E52">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1.12偏离</w:t>
      </w:r>
    </w:p>
    <w:bookmarkEnd w:id="55"/>
    <w:p w14:paraId="6DD68A2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投标人须知前附表允许投标文件偏离招标文件某些要求的，偏离应当符合招标文件规定的偏离范围和幅度。</w:t>
      </w:r>
    </w:p>
    <w:p w14:paraId="54654B93">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2．招标文件</w:t>
      </w:r>
    </w:p>
    <w:p w14:paraId="7CE9D471">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56" w:name="_Toc152042319"/>
      <w:bookmarkStart w:id="57" w:name="_Toc152045543"/>
      <w:bookmarkStart w:id="58" w:name="_Toc292897317"/>
      <w:bookmarkStart w:id="59" w:name="_Toc144974511"/>
      <w:bookmarkStart w:id="60" w:name="_Toc179632561"/>
      <w:r>
        <w:rPr>
          <w:rFonts w:hint="eastAsia" w:ascii="宋体" w:hAnsi="宋体" w:cs="宋体"/>
          <w:b/>
          <w:szCs w:val="21"/>
        </w:rPr>
        <w:t>2.1 招标文件的组成</w:t>
      </w:r>
      <w:bookmarkEnd w:id="56"/>
      <w:bookmarkEnd w:id="57"/>
      <w:bookmarkEnd w:id="58"/>
      <w:bookmarkEnd w:id="59"/>
      <w:bookmarkEnd w:id="60"/>
    </w:p>
    <w:p w14:paraId="4F46081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本招标文件包括：</w:t>
      </w:r>
    </w:p>
    <w:p w14:paraId="58599254">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zCs w:val="21"/>
        </w:rPr>
        <w:t>(</w:t>
      </w:r>
      <w:r>
        <w:rPr>
          <w:rFonts w:hint="eastAsia" w:ascii="宋体" w:hAnsi="宋体" w:cs="宋体"/>
          <w:snapToGrid w:val="0"/>
          <w:color w:val="000000"/>
          <w:kern w:val="0"/>
          <w:szCs w:val="21"/>
        </w:rPr>
        <w:t>1)招标公告</w:t>
      </w:r>
    </w:p>
    <w:p w14:paraId="7D330635">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(2)投标人须知</w:t>
      </w:r>
    </w:p>
    <w:p w14:paraId="709D9C48">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(3)评标办法</w:t>
      </w:r>
    </w:p>
    <w:p w14:paraId="492751F1">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(4)合同条款及格式</w:t>
      </w:r>
    </w:p>
    <w:p w14:paraId="78BA65F0">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(5)采购内容及要求</w:t>
      </w:r>
    </w:p>
    <w:p w14:paraId="0060DEC7">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（6）采购项目清单</w:t>
      </w:r>
    </w:p>
    <w:p w14:paraId="0675DC48">
      <w:pPr>
        <w:pageBreakBefore w:val="0"/>
        <w:widowControl w:val="0"/>
        <w:kinsoku/>
        <w:wordWrap/>
        <w:overflowPunct w:val="0"/>
        <w:topLinePunct/>
        <w:autoSpaceDE/>
        <w:autoSpaceDN/>
        <w:bidi w:val="0"/>
        <w:adjustRightInd/>
        <w:snapToGrid/>
        <w:spacing w:line="360" w:lineRule="auto"/>
        <w:ind w:firstLine="420" w:firstLineChars="200"/>
        <w:textAlignment w:val="top"/>
        <w:rPr>
          <w:rFonts w:hint="eastAsia" w:ascii="宋体" w:hAnsi="宋体" w:cs="宋体"/>
          <w:snapToGrid w:val="0"/>
          <w:color w:val="000000"/>
          <w:kern w:val="0"/>
          <w:szCs w:val="21"/>
        </w:rPr>
      </w:pPr>
      <w:r>
        <w:rPr>
          <w:rFonts w:hint="eastAsia" w:ascii="宋体" w:hAnsi="宋体" w:cs="宋体"/>
          <w:snapToGrid w:val="0"/>
          <w:color w:val="000000"/>
          <w:kern w:val="0"/>
          <w:szCs w:val="21"/>
        </w:rPr>
        <w:t>(7)响应文件格式</w:t>
      </w:r>
    </w:p>
    <w:p w14:paraId="1101F0EC">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采购人按本章第2.2款规定对招标文件所作的澄清、修改等构成招标文件的组成部分。</w:t>
      </w:r>
    </w:p>
    <w:p w14:paraId="287AE9BF">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61" w:name="_Toc292897318"/>
      <w:bookmarkStart w:id="62" w:name="_Toc152045544"/>
      <w:bookmarkStart w:id="63" w:name="_Toc152042320"/>
      <w:bookmarkStart w:id="64" w:name="_Toc144974512"/>
      <w:bookmarkStart w:id="65" w:name="_Toc179632562"/>
      <w:r>
        <w:rPr>
          <w:rFonts w:hint="eastAsia" w:ascii="宋体" w:hAnsi="宋体" w:cs="宋体"/>
          <w:b/>
          <w:szCs w:val="21"/>
        </w:rPr>
        <w:t>2.2 招标文件的澄清</w:t>
      </w:r>
      <w:bookmarkEnd w:id="61"/>
      <w:bookmarkEnd w:id="62"/>
      <w:bookmarkEnd w:id="63"/>
      <w:bookmarkEnd w:id="64"/>
      <w:bookmarkEnd w:id="65"/>
      <w:r>
        <w:rPr>
          <w:rFonts w:hint="eastAsia" w:ascii="宋体" w:hAnsi="宋体" w:cs="宋体"/>
          <w:b/>
          <w:szCs w:val="21"/>
        </w:rPr>
        <w:t>、修改</w:t>
      </w:r>
    </w:p>
    <w:p w14:paraId="38C9DA2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66" w:name="_Toc152042321"/>
      <w:bookmarkStart w:id="67" w:name="_Toc144974513"/>
      <w:bookmarkStart w:id="68" w:name="_Toc179632563"/>
      <w:bookmarkStart w:id="69" w:name="_Toc152045545"/>
      <w:bookmarkStart w:id="70" w:name="_Toc292897319"/>
      <w:r>
        <w:rPr>
          <w:rFonts w:hint="eastAsia" w:ascii="宋体" w:hAnsi="宋体" w:cs="宋体"/>
          <w:szCs w:val="21"/>
        </w:rPr>
        <w:t>2.2.1投标人应仔细阅读和检查招标文件的全部内容。如发现缺页或附件不全，应及时在电子交易系统中提出，以便补齐。如有疑问，应在投标人须知前附表规定的时间前在电子交易系统中提出，要求采购人对招标文件予以澄清。</w:t>
      </w:r>
    </w:p>
    <w:p w14:paraId="17E37BF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2.2.2 招标文件的澄清将在投标人须知前附表规定的投标截止时间前15天在电子交易系统中以澄清形式公示，但不指明澄清问题的来源，如果澄清发出的时间距投标截止时间不足15天，相应延长投标截止时间。</w:t>
      </w:r>
    </w:p>
    <w:p w14:paraId="0327B785">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2.2.3投标截止时间15天前，采购人可在电子交易系统中修改招标文件并公示，如果修改招标文件的时间距投标截止时间不足15天，相应延长投标截止时间。</w:t>
      </w:r>
    </w:p>
    <w:p w14:paraId="63C11F5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2.2.4招标文件的澄清、修改、补充等内容均以电子交易系统中明确的内容为准。当招标文件、招标文件的澄清、修改、补充等在同一内容的表述不一致时，以最后在电子交易系统中发出的招标文件为准。</w:t>
      </w:r>
    </w:p>
    <w:bookmarkEnd w:id="66"/>
    <w:bookmarkEnd w:id="67"/>
    <w:bookmarkEnd w:id="68"/>
    <w:bookmarkEnd w:id="69"/>
    <w:bookmarkEnd w:id="70"/>
    <w:p w14:paraId="22C3998A">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71" w:name="_Toc179632564"/>
      <w:bookmarkStart w:id="72" w:name="_Toc144974514"/>
      <w:bookmarkStart w:id="73" w:name="_Toc152042322"/>
      <w:bookmarkStart w:id="74" w:name="_Toc152045546"/>
      <w:bookmarkStart w:id="75" w:name="_Toc292897320"/>
      <w:r>
        <w:rPr>
          <w:rFonts w:hint="eastAsia" w:ascii="宋体" w:hAnsi="宋体" w:cs="宋体"/>
          <w:b/>
          <w:szCs w:val="21"/>
        </w:rPr>
        <w:t>3．投标文件</w:t>
      </w:r>
      <w:bookmarkEnd w:id="71"/>
      <w:bookmarkEnd w:id="72"/>
      <w:bookmarkEnd w:id="73"/>
      <w:bookmarkEnd w:id="74"/>
      <w:bookmarkEnd w:id="75"/>
    </w:p>
    <w:p w14:paraId="21559E29">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76" w:name="_Toc292897322"/>
      <w:bookmarkStart w:id="77" w:name="_Toc179632565"/>
      <w:bookmarkStart w:id="78" w:name="_Toc152045547"/>
      <w:bookmarkStart w:id="79" w:name="_Toc144974515"/>
      <w:bookmarkStart w:id="80" w:name="_Toc152042323"/>
      <w:r>
        <w:rPr>
          <w:rFonts w:hint="eastAsia" w:ascii="宋体" w:hAnsi="宋体" w:cs="宋体"/>
          <w:b/>
          <w:szCs w:val="21"/>
        </w:rPr>
        <w:t>3.1 投标文件的组成</w:t>
      </w:r>
      <w:bookmarkEnd w:id="76"/>
      <w:bookmarkEnd w:id="77"/>
      <w:bookmarkEnd w:id="78"/>
      <w:bookmarkEnd w:id="79"/>
      <w:bookmarkEnd w:id="80"/>
    </w:p>
    <w:p w14:paraId="4DE4CE1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3.1.1投标文件应包括下列内容：</w:t>
      </w:r>
    </w:p>
    <w:p w14:paraId="66FCADD8">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81" w:name="_Toc152042324"/>
      <w:bookmarkStart w:id="82" w:name="_Toc179632566"/>
      <w:bookmarkStart w:id="83" w:name="_Toc152045548"/>
      <w:bookmarkStart w:id="84" w:name="_Toc292897323"/>
      <w:bookmarkStart w:id="85" w:name="_Toc144974516"/>
      <w:r>
        <w:rPr>
          <w:rFonts w:hint="eastAsia" w:ascii="宋体" w:hAnsi="宋体" w:cs="宋体"/>
          <w:szCs w:val="21"/>
        </w:rPr>
        <w:t>（1）投标函及投标函附录；</w:t>
      </w:r>
    </w:p>
    <w:p w14:paraId="25BD649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（2）法定代表人身份证明</w:t>
      </w:r>
    </w:p>
    <w:p w14:paraId="55555FA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（3）授权委托书；</w:t>
      </w:r>
    </w:p>
    <w:p w14:paraId="6BB57497">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（4）分项明细报价表；</w:t>
      </w:r>
    </w:p>
    <w:p w14:paraId="77A18520">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 xml:space="preserve">（5）技术要求响应偏离表； </w:t>
      </w:r>
    </w:p>
    <w:p w14:paraId="3E980AB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（6）资格审查资料；</w:t>
      </w:r>
    </w:p>
    <w:p w14:paraId="00D19FB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（7）技术部分；</w:t>
      </w:r>
    </w:p>
    <w:p w14:paraId="1840763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（8）其他资料。</w:t>
      </w:r>
    </w:p>
    <w:p w14:paraId="7BB8BDDC">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3.2 投标报价</w:t>
      </w:r>
      <w:bookmarkEnd w:id="81"/>
      <w:bookmarkEnd w:id="82"/>
      <w:bookmarkEnd w:id="83"/>
      <w:bookmarkEnd w:id="84"/>
      <w:bookmarkEnd w:id="85"/>
    </w:p>
    <w:p w14:paraId="13E69C3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86" w:name="_Toc292897324"/>
      <w:bookmarkStart w:id="87" w:name="_Toc152042325"/>
      <w:bookmarkStart w:id="88" w:name="_Toc152045549"/>
      <w:bookmarkStart w:id="89" w:name="_Toc144974517"/>
      <w:bookmarkStart w:id="90" w:name="_Toc179632567"/>
      <w:r>
        <w:rPr>
          <w:rFonts w:hint="eastAsia" w:ascii="宋体" w:hAnsi="宋体" w:cs="宋体"/>
          <w:szCs w:val="21"/>
        </w:rPr>
        <w:t>3.2.1 投标人应按</w:t>
      </w:r>
      <w:r>
        <w:rPr>
          <w:rFonts w:hint="eastAsia" w:ascii="宋体" w:hAnsi="宋体" w:cs="宋体"/>
          <w:bCs/>
          <w:szCs w:val="21"/>
        </w:rPr>
        <w:t>第五章</w:t>
      </w:r>
      <w:r>
        <w:rPr>
          <w:rFonts w:hint="eastAsia" w:ascii="宋体" w:hAnsi="宋体" w:cs="宋体"/>
          <w:szCs w:val="21"/>
        </w:rPr>
        <w:t>“采购项目清单和技术要求”的要求填写相应表格。</w:t>
      </w:r>
    </w:p>
    <w:p w14:paraId="7F1A531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3.2.2 投标人在投标截止时间前修改投标函中的投标总报价，应同时修改</w:t>
      </w:r>
      <w:r>
        <w:rPr>
          <w:rFonts w:hint="eastAsia" w:ascii="宋体" w:hAnsi="宋体" w:cs="宋体"/>
          <w:bCs/>
          <w:szCs w:val="21"/>
        </w:rPr>
        <w:t>第五章</w:t>
      </w:r>
      <w:r>
        <w:rPr>
          <w:rFonts w:hint="eastAsia" w:ascii="宋体" w:hAnsi="宋体" w:cs="宋体"/>
          <w:szCs w:val="21"/>
        </w:rPr>
        <w:t>“采购项目清单和技术要求”中的相应报价。</w:t>
      </w:r>
    </w:p>
    <w:p w14:paraId="416E45F5">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3.3 投标有效期</w:t>
      </w:r>
      <w:bookmarkEnd w:id="86"/>
      <w:bookmarkEnd w:id="87"/>
      <w:bookmarkEnd w:id="88"/>
      <w:bookmarkEnd w:id="89"/>
      <w:bookmarkEnd w:id="90"/>
    </w:p>
    <w:p w14:paraId="2BB8103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3.3.1在投标人须知前附表规定的投标有效期内，投标人不得要求撤销或修改其投标文件。</w:t>
      </w:r>
    </w:p>
    <w:p w14:paraId="4CD0AF1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 xml:space="preserve">3.3.2出现特殊情况需要延长投标有效期的，采购人在电子交易系统中通知所有投标人延长投标有效期。投标人同意延长的，应相应延长其投标保证金的有效期，但不得要求或被允许修改或撤销其投标文件；投标人拒绝延长的，其投标失效，但投标人有权收回其投标保证金。 </w:t>
      </w:r>
    </w:p>
    <w:p w14:paraId="4375C766">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91" w:name="_Toc292897325"/>
      <w:bookmarkStart w:id="92" w:name="_Toc152042326"/>
      <w:bookmarkStart w:id="93" w:name="_Toc144974518"/>
      <w:bookmarkStart w:id="94" w:name="_Toc152045550"/>
      <w:bookmarkStart w:id="95" w:name="_Toc179632568"/>
      <w:r>
        <w:rPr>
          <w:rFonts w:hint="eastAsia" w:ascii="宋体" w:hAnsi="宋体" w:cs="宋体"/>
          <w:b/>
          <w:szCs w:val="21"/>
        </w:rPr>
        <w:t>3.4 投标保证金</w:t>
      </w:r>
      <w:bookmarkEnd w:id="91"/>
      <w:bookmarkEnd w:id="92"/>
      <w:bookmarkEnd w:id="93"/>
      <w:bookmarkEnd w:id="94"/>
      <w:bookmarkEnd w:id="95"/>
    </w:p>
    <w:p w14:paraId="143DA09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96" w:name="_Toc152045553"/>
      <w:bookmarkStart w:id="97" w:name="_Toc292897327"/>
      <w:bookmarkStart w:id="98" w:name="_Toc144974521"/>
      <w:bookmarkStart w:id="99" w:name="_Toc152042329"/>
      <w:bookmarkStart w:id="100" w:name="_Toc179632571"/>
      <w:r>
        <w:rPr>
          <w:rFonts w:hint="eastAsia" w:ascii="宋体" w:hAnsi="宋体" w:cs="宋体"/>
          <w:szCs w:val="21"/>
        </w:rPr>
        <w:t>不提交</w:t>
      </w:r>
    </w:p>
    <w:p w14:paraId="25F73D7A">
      <w:pPr>
        <w:pageBreakBefore w:val="0"/>
        <w:widowControl w:val="0"/>
        <w:kinsoku/>
        <w:wordWrap/>
        <w:autoSpaceDE/>
        <w:autoSpaceDN/>
        <w:bidi w:val="0"/>
        <w:adjustRightInd/>
        <w:snapToGrid/>
        <w:spacing w:line="360" w:lineRule="auto"/>
        <w:outlineLvl w:val="2"/>
        <w:rPr>
          <w:rFonts w:hint="eastAsia" w:ascii="宋体" w:hAnsi="宋体" w:cs="宋体"/>
          <w:b/>
          <w:color w:val="auto"/>
          <w:szCs w:val="21"/>
        </w:rPr>
      </w:pPr>
      <w:r>
        <w:rPr>
          <w:rFonts w:hint="eastAsia" w:ascii="宋体" w:hAnsi="宋体" w:cs="宋体"/>
          <w:b/>
          <w:color w:val="auto"/>
          <w:szCs w:val="21"/>
        </w:rPr>
        <w:t>3.5 资格审查资料</w:t>
      </w:r>
    </w:p>
    <w:p w14:paraId="41E8447F">
      <w:pPr>
        <w:pageBreakBefore w:val="0"/>
        <w:widowControl w:val="0"/>
        <w:kinsoku/>
        <w:wordWrap/>
        <w:autoSpaceDE/>
        <w:autoSpaceDN/>
        <w:bidi w:val="0"/>
        <w:adjustRightInd/>
        <w:snapToGrid/>
        <w:spacing w:line="360" w:lineRule="auto"/>
        <w:ind w:firstLine="420" w:firstLineChars="200"/>
        <w:rPr>
          <w:rFonts w:ascii="宋体" w:hAnsi="宋体" w:cs="宋体"/>
          <w:color w:val="auto"/>
          <w:szCs w:val="21"/>
        </w:rPr>
      </w:pPr>
      <w:r>
        <w:rPr>
          <w:rFonts w:hint="eastAsia" w:ascii="宋体" w:hAnsi="宋体" w:cs="宋体"/>
          <w:color w:val="auto"/>
          <w:szCs w:val="21"/>
        </w:rPr>
        <w:t>详见招标公告。</w:t>
      </w:r>
    </w:p>
    <w:p w14:paraId="6A65644B">
      <w:pPr>
        <w:pageBreakBefore w:val="0"/>
        <w:widowControl w:val="0"/>
        <w:kinsoku/>
        <w:wordWrap/>
        <w:autoSpaceDE/>
        <w:autoSpaceDN/>
        <w:bidi w:val="0"/>
        <w:adjustRightInd/>
        <w:snapToGrid/>
        <w:spacing w:line="360" w:lineRule="auto"/>
        <w:ind w:firstLine="420" w:firstLineChars="200"/>
        <w:rPr>
          <w:rFonts w:hint="eastAsia" w:ascii="宋体" w:hAnsi="宋体" w:cs="宋体"/>
          <w:color w:val="auto"/>
          <w:szCs w:val="21"/>
        </w:rPr>
      </w:pPr>
      <w:r>
        <w:rPr>
          <w:rFonts w:hint="eastAsia" w:ascii="宋体" w:hAnsi="宋体"/>
          <w:color w:val="auto"/>
          <w:szCs w:val="21"/>
        </w:rPr>
        <w:t>按照《</w:t>
      </w:r>
      <w:r>
        <w:rPr>
          <w:rFonts w:ascii="宋体" w:hAnsi="宋体"/>
          <w:color w:val="auto"/>
          <w:szCs w:val="21"/>
        </w:rPr>
        <w:t>政府采购货物和服务招标投标管理办法</w:t>
      </w:r>
      <w:r>
        <w:rPr>
          <w:rFonts w:hint="eastAsia" w:ascii="宋体" w:hAnsi="宋体"/>
          <w:color w:val="auto"/>
          <w:szCs w:val="21"/>
        </w:rPr>
        <w:t>》</w:t>
      </w:r>
      <w:r>
        <w:rPr>
          <w:rFonts w:ascii="宋体" w:hAnsi="宋体"/>
          <w:color w:val="auto"/>
          <w:szCs w:val="21"/>
        </w:rPr>
        <w:t>中华人民共和国财政部令第87号</w:t>
      </w:r>
      <w:r>
        <w:rPr>
          <w:rFonts w:hint="eastAsia" w:ascii="宋体" w:hAnsi="宋体"/>
          <w:color w:val="auto"/>
          <w:szCs w:val="21"/>
        </w:rPr>
        <w:t>中</w:t>
      </w:r>
      <w:r>
        <w:rPr>
          <w:rFonts w:ascii="宋体" w:hAnsi="宋体"/>
          <w:color w:val="auto"/>
          <w:szCs w:val="21"/>
        </w:rPr>
        <w:t>第四十四条</w:t>
      </w:r>
      <w:r>
        <w:rPr>
          <w:rFonts w:hint="eastAsia" w:ascii="宋体" w:hAnsi="宋体"/>
          <w:color w:val="auto"/>
          <w:szCs w:val="21"/>
        </w:rPr>
        <w:t>规定，</w:t>
      </w:r>
      <w:r>
        <w:rPr>
          <w:rFonts w:ascii="宋体" w:hAnsi="宋体"/>
          <w:color w:val="auto"/>
          <w:szCs w:val="21"/>
        </w:rPr>
        <w:t>公开招标采购项目开标结束后，采购人或者采购代理机构</w:t>
      </w:r>
      <w:r>
        <w:rPr>
          <w:rFonts w:hint="eastAsia" w:ascii="宋体" w:hAnsi="宋体"/>
          <w:color w:val="auto"/>
          <w:szCs w:val="21"/>
        </w:rPr>
        <w:t>应当</w:t>
      </w:r>
      <w:r>
        <w:rPr>
          <w:rFonts w:ascii="宋体" w:hAnsi="宋体"/>
          <w:color w:val="auto"/>
          <w:szCs w:val="21"/>
        </w:rPr>
        <w:t>依法对投标人的资格进行审查。</w:t>
      </w:r>
      <w:r>
        <w:rPr>
          <w:rFonts w:hint="eastAsia" w:ascii="宋体" w:hAnsi="宋体"/>
          <w:color w:val="auto"/>
          <w:szCs w:val="21"/>
        </w:rPr>
        <w:t>本项目资格审查由采购人或代理机构完成。</w:t>
      </w:r>
    </w:p>
    <w:p w14:paraId="5A7722A2">
      <w:pPr>
        <w:pageBreakBefore w:val="0"/>
        <w:widowControl w:val="0"/>
        <w:kinsoku/>
        <w:wordWrap/>
        <w:autoSpaceDE/>
        <w:autoSpaceDN/>
        <w:bidi w:val="0"/>
        <w:adjustRightInd/>
        <w:snapToGrid/>
        <w:spacing w:line="360" w:lineRule="auto"/>
        <w:outlineLvl w:val="2"/>
        <w:rPr>
          <w:rFonts w:hint="eastAsia" w:ascii="宋体" w:hAnsi="宋体" w:cs="宋体"/>
          <w:b/>
          <w:szCs w:val="21"/>
        </w:rPr>
      </w:pPr>
      <w:r>
        <w:rPr>
          <w:rFonts w:hint="eastAsia" w:ascii="宋体" w:hAnsi="宋体" w:cs="宋体"/>
          <w:b/>
          <w:szCs w:val="21"/>
        </w:rPr>
        <w:t>3.6 备选投标方案</w:t>
      </w:r>
      <w:bookmarkEnd w:id="96"/>
      <w:bookmarkEnd w:id="97"/>
      <w:bookmarkEnd w:id="98"/>
      <w:bookmarkEnd w:id="99"/>
      <w:bookmarkEnd w:id="100"/>
    </w:p>
    <w:p w14:paraId="67114985">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除投标人须知前附表另有规定外，投标人不得递交备选投标方案。允许投标人递交备选投标方案的，只有中标人所递交的备选投标方案方可予以考虑。评标委员会认为中标人的备选投标方案优于其按照招标文件要求编制的投标方案的，采购人可以接受该备选投标方案。</w:t>
      </w:r>
    </w:p>
    <w:p w14:paraId="2847A5FB">
      <w:pPr>
        <w:pageBreakBefore w:val="0"/>
        <w:widowControl w:val="0"/>
        <w:kinsoku/>
        <w:wordWrap/>
        <w:autoSpaceDE/>
        <w:autoSpaceDN/>
        <w:bidi w:val="0"/>
        <w:adjustRightInd/>
        <w:snapToGrid/>
        <w:spacing w:line="360" w:lineRule="auto"/>
        <w:outlineLvl w:val="2"/>
        <w:rPr>
          <w:rFonts w:hint="eastAsia" w:ascii="宋体" w:hAnsi="宋体" w:cs="宋体"/>
          <w:b/>
          <w:szCs w:val="21"/>
        </w:rPr>
      </w:pPr>
      <w:bookmarkStart w:id="101" w:name="_Toc179632572"/>
      <w:bookmarkStart w:id="102" w:name="_Toc292897328"/>
      <w:bookmarkStart w:id="103" w:name="_Toc152042330"/>
      <w:bookmarkStart w:id="104" w:name="_Toc144974522"/>
      <w:bookmarkStart w:id="105" w:name="_Toc152045554"/>
      <w:r>
        <w:rPr>
          <w:rFonts w:hint="eastAsia" w:ascii="宋体" w:hAnsi="宋体" w:cs="宋体"/>
          <w:b/>
          <w:szCs w:val="21"/>
        </w:rPr>
        <w:t>3.7 投标文件的编制</w:t>
      </w:r>
      <w:bookmarkEnd w:id="101"/>
      <w:bookmarkEnd w:id="102"/>
      <w:bookmarkEnd w:id="103"/>
      <w:bookmarkEnd w:id="104"/>
      <w:bookmarkEnd w:id="105"/>
    </w:p>
    <w:p w14:paraId="5E2EEFF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3.7.1投标文件应按 “投标文件格式”进行编写，如有必要，可以增加附页，作为投标文件的组成部分。其中，投标函附录在满足招标文件实质性要求的基础上，可以提出比招标文件要求更有利于采购人的承诺。</w:t>
      </w:r>
    </w:p>
    <w:p w14:paraId="3D04453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3.7.2投标文件应当对招标文件有关供货及安装期限、投标有效期、服务质量、投标范围等实质性内容作出响应。</w:t>
      </w:r>
    </w:p>
    <w:p w14:paraId="099EFA38">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106" w:name="_Toc152042331"/>
      <w:bookmarkStart w:id="107" w:name="_Toc144974523"/>
      <w:bookmarkStart w:id="108" w:name="_Toc152045555"/>
      <w:bookmarkStart w:id="109" w:name="_Toc292897329"/>
      <w:bookmarkStart w:id="110" w:name="_Toc179632573"/>
      <w:r>
        <w:rPr>
          <w:rFonts w:hint="eastAsia" w:ascii="宋体" w:hAnsi="宋体" w:cs="宋体"/>
          <w:b/>
          <w:szCs w:val="21"/>
        </w:rPr>
        <w:t>4．投标</w:t>
      </w:r>
      <w:bookmarkEnd w:id="106"/>
      <w:bookmarkEnd w:id="107"/>
      <w:bookmarkEnd w:id="108"/>
      <w:bookmarkEnd w:id="109"/>
      <w:bookmarkEnd w:id="110"/>
    </w:p>
    <w:p w14:paraId="3A73E02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11" w:name="_Toc144974525"/>
      <w:bookmarkStart w:id="112" w:name="_Toc179632575"/>
      <w:bookmarkStart w:id="113" w:name="_Toc25863"/>
      <w:bookmarkStart w:id="114" w:name="_Toc152045557"/>
      <w:bookmarkStart w:id="115" w:name="_Toc292897331"/>
      <w:bookmarkStart w:id="116" w:name="_Toc152042333"/>
      <w:r>
        <w:rPr>
          <w:rFonts w:hint="eastAsia" w:ascii="宋体" w:hAnsi="宋体" w:cs="宋体"/>
          <w:szCs w:val="21"/>
        </w:rPr>
        <w:t xml:space="preserve">4.1 </w:t>
      </w:r>
      <w:bookmarkEnd w:id="111"/>
      <w:bookmarkEnd w:id="112"/>
      <w:bookmarkEnd w:id="113"/>
      <w:bookmarkEnd w:id="114"/>
      <w:bookmarkEnd w:id="115"/>
      <w:bookmarkEnd w:id="116"/>
      <w:bookmarkStart w:id="117" w:name="_Toc152042335"/>
      <w:bookmarkStart w:id="118" w:name="_Toc292897332"/>
      <w:bookmarkStart w:id="119" w:name="_Toc144974527"/>
      <w:bookmarkStart w:id="120" w:name="_Toc179632577"/>
      <w:bookmarkStart w:id="121" w:name="_Toc152045559"/>
      <w:r>
        <w:rPr>
          <w:rFonts w:hint="eastAsia" w:ascii="宋体" w:hAnsi="宋体" w:cs="宋体"/>
          <w:szCs w:val="21"/>
        </w:rPr>
        <w:t>本项目采用网上远程异地开标解密，详细要求及注意事项请各投标人详细阅读平顶山公共资源交易中心网站“平顶山市公共资源交易中心关于恢复重大紧急项目交易服务的公告”，因各投标人未仔细阅读造成的损失，各投标人自行承担。</w:t>
      </w:r>
    </w:p>
    <w:p w14:paraId="3E55C526">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5．开标</w:t>
      </w:r>
      <w:bookmarkEnd w:id="117"/>
      <w:bookmarkEnd w:id="118"/>
      <w:bookmarkEnd w:id="119"/>
      <w:bookmarkEnd w:id="120"/>
      <w:bookmarkEnd w:id="121"/>
    </w:p>
    <w:p w14:paraId="0D864624">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bookmarkStart w:id="122" w:name="_Toc152045560"/>
      <w:bookmarkStart w:id="123" w:name="_Toc179632578"/>
      <w:bookmarkStart w:id="124" w:name="_Toc144974528"/>
      <w:bookmarkStart w:id="125" w:name="_Toc152042336"/>
      <w:bookmarkStart w:id="126" w:name="_Toc292897333"/>
      <w:r>
        <w:rPr>
          <w:rFonts w:hint="eastAsia" w:ascii="宋体" w:hAnsi="宋体" w:cs="宋体"/>
          <w:b/>
          <w:szCs w:val="21"/>
        </w:rPr>
        <w:t>5.1 开标时间和地点</w:t>
      </w:r>
      <w:bookmarkEnd w:id="122"/>
      <w:bookmarkEnd w:id="123"/>
      <w:bookmarkEnd w:id="124"/>
      <w:bookmarkEnd w:id="125"/>
      <w:bookmarkEnd w:id="126"/>
    </w:p>
    <w:p w14:paraId="1FBE4E3D">
      <w:pPr>
        <w:pageBreakBefore w:val="0"/>
        <w:widowControl w:val="0"/>
        <w:kinsoku/>
        <w:wordWrap/>
        <w:autoSpaceDE/>
        <w:autoSpaceDN/>
        <w:bidi w:val="0"/>
        <w:adjustRightInd/>
        <w:snapToGrid/>
        <w:spacing w:line="360" w:lineRule="auto"/>
        <w:ind w:firstLine="420" w:firstLineChars="200"/>
        <w:rPr>
          <w:rFonts w:hint="eastAsia" w:ascii="宋体" w:hAnsi="宋体" w:cs="宋体"/>
          <w:b/>
          <w:bCs/>
          <w:szCs w:val="21"/>
        </w:rPr>
      </w:pPr>
      <w:bookmarkStart w:id="127" w:name="_Toc292897334"/>
      <w:bookmarkStart w:id="128" w:name="_Toc144974529"/>
      <w:bookmarkStart w:id="129" w:name="_Toc179632579"/>
      <w:bookmarkStart w:id="130" w:name="_Toc152042337"/>
      <w:bookmarkStart w:id="131" w:name="_Toc152045561"/>
      <w:r>
        <w:rPr>
          <w:rFonts w:hint="eastAsia" w:ascii="宋体" w:hAnsi="宋体" w:cs="宋体"/>
          <w:szCs w:val="21"/>
        </w:rPr>
        <w:t>采购人在投标人须知前附表第17项规定的投标截止时间（开标时间）和投标人须知前附表规定的地点进行不见面开标。</w:t>
      </w:r>
    </w:p>
    <w:bookmarkEnd w:id="127"/>
    <w:bookmarkEnd w:id="128"/>
    <w:bookmarkEnd w:id="129"/>
    <w:bookmarkEnd w:id="130"/>
    <w:bookmarkEnd w:id="131"/>
    <w:p w14:paraId="68A96854">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132" w:name="_Toc152045562"/>
      <w:bookmarkStart w:id="133" w:name="_Toc152042338"/>
      <w:bookmarkStart w:id="134" w:name="_Toc144974530"/>
      <w:bookmarkStart w:id="135" w:name="_Toc179632580"/>
      <w:bookmarkStart w:id="136" w:name="_Toc292897335"/>
      <w:r>
        <w:rPr>
          <w:rFonts w:hint="eastAsia" w:ascii="宋体" w:hAnsi="宋体" w:cs="宋体"/>
          <w:b/>
          <w:szCs w:val="21"/>
        </w:rPr>
        <w:t>6．评标</w:t>
      </w:r>
      <w:bookmarkEnd w:id="132"/>
      <w:bookmarkEnd w:id="133"/>
      <w:bookmarkEnd w:id="134"/>
      <w:bookmarkEnd w:id="135"/>
      <w:bookmarkEnd w:id="136"/>
    </w:p>
    <w:p w14:paraId="7B0C6F7F">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37" w:name="_Toc292897336"/>
      <w:bookmarkStart w:id="138" w:name="_Toc152045563"/>
      <w:bookmarkStart w:id="139" w:name="_Toc152042339"/>
      <w:bookmarkStart w:id="140" w:name="_Toc144974531"/>
      <w:bookmarkStart w:id="141" w:name="_Toc179632581"/>
      <w:r>
        <w:rPr>
          <w:rFonts w:hint="eastAsia" w:ascii="宋体" w:hAnsi="宋体" w:cs="宋体"/>
          <w:b/>
          <w:szCs w:val="21"/>
        </w:rPr>
        <w:t>6.1 评标委员会</w:t>
      </w:r>
      <w:bookmarkEnd w:id="137"/>
      <w:bookmarkEnd w:id="138"/>
      <w:bookmarkEnd w:id="139"/>
      <w:bookmarkEnd w:id="140"/>
      <w:bookmarkEnd w:id="141"/>
    </w:p>
    <w:p w14:paraId="04BF4A86">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6.1.1评标由采购人依法组建的评标委员会负责。评标委员会构成：评标委员会由采购人代表和评审专家共5人以上单数组成，其中评审专家人数不得少于评标委员会成员总数的2/3。</w:t>
      </w:r>
    </w:p>
    <w:p w14:paraId="1966BD91">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上述规定为一组评标专家组成方式，根据项目标段数量和评标工作量，可由多组专家完成评审，但一个标段只能由一组专家评审。</w:t>
      </w:r>
    </w:p>
    <w:p w14:paraId="51F15BA0">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42" w:name="_Toc292897337"/>
      <w:bookmarkStart w:id="143" w:name="_Toc144974532"/>
      <w:bookmarkStart w:id="144" w:name="_Toc152042340"/>
      <w:bookmarkStart w:id="145" w:name="_Toc152045564"/>
      <w:bookmarkStart w:id="146" w:name="_Toc179632582"/>
      <w:r>
        <w:rPr>
          <w:rFonts w:hint="eastAsia" w:ascii="宋体" w:hAnsi="宋体" w:cs="宋体"/>
          <w:szCs w:val="21"/>
        </w:rPr>
        <w:t>6.1.2 评标委员会成员有下列情形之一的，应当回避：</w:t>
      </w:r>
    </w:p>
    <w:p w14:paraId="1E73ACE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（1）采购人或投标人的主要负责人的近亲属；</w:t>
      </w:r>
    </w:p>
    <w:p w14:paraId="69910CEC">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（2）项目主管部门或者行政监督部门的人员；</w:t>
      </w:r>
    </w:p>
    <w:p w14:paraId="6EA16EB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（3）与投标人有经济利益关系，可能影响对投标公正评审的；</w:t>
      </w:r>
    </w:p>
    <w:p w14:paraId="138EAA14">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（4）曾因在招标、评标以及其他与招标投标有关活动中从事违法行为而受过行政处罚或刑事处罚的。</w:t>
      </w:r>
    </w:p>
    <w:p w14:paraId="31B44A22">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6.2 评标原则</w:t>
      </w:r>
      <w:bookmarkEnd w:id="142"/>
      <w:bookmarkEnd w:id="143"/>
      <w:bookmarkEnd w:id="144"/>
      <w:bookmarkEnd w:id="145"/>
      <w:bookmarkEnd w:id="146"/>
      <w:r>
        <w:rPr>
          <w:rFonts w:hint="eastAsia" w:ascii="宋体" w:hAnsi="宋体" w:cs="宋体"/>
          <w:b/>
          <w:szCs w:val="21"/>
        </w:rPr>
        <w:tab/>
      </w:r>
    </w:p>
    <w:p w14:paraId="66A21B4F">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评标活动遵循公平、公正、科学和择优的原则。</w:t>
      </w:r>
    </w:p>
    <w:p w14:paraId="1AB4E6E5">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47" w:name="_Toc152042341"/>
      <w:bookmarkStart w:id="148" w:name="_Toc179632583"/>
      <w:bookmarkStart w:id="149" w:name="_Toc144974533"/>
      <w:bookmarkStart w:id="150" w:name="_Toc292897338"/>
      <w:bookmarkStart w:id="151" w:name="_Toc152045565"/>
      <w:r>
        <w:rPr>
          <w:rFonts w:hint="eastAsia" w:ascii="宋体" w:hAnsi="宋体" w:cs="宋体"/>
          <w:b/>
          <w:szCs w:val="21"/>
        </w:rPr>
        <w:t>6.3 评标</w:t>
      </w:r>
      <w:bookmarkEnd w:id="147"/>
      <w:bookmarkEnd w:id="148"/>
      <w:bookmarkEnd w:id="149"/>
      <w:bookmarkEnd w:id="150"/>
      <w:bookmarkEnd w:id="151"/>
    </w:p>
    <w:p w14:paraId="1D2CE00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评标委员会按照第三章“评标办法”规定的方法、评审因素、标准和程序对投标文件进行评审。第三章“评标办法”没有规定的方法、评审因素和标准，不作为评标依据。</w:t>
      </w:r>
    </w:p>
    <w:p w14:paraId="020B2899">
      <w:pPr>
        <w:pageBreakBefore w:val="0"/>
        <w:widowControl w:val="0"/>
        <w:kinsoku/>
        <w:wordWrap/>
        <w:autoSpaceDE/>
        <w:autoSpaceDN/>
        <w:bidi w:val="0"/>
        <w:adjustRightInd/>
        <w:snapToGrid/>
        <w:spacing w:line="360" w:lineRule="auto"/>
        <w:outlineLvl w:val="1"/>
        <w:rPr>
          <w:rFonts w:hint="eastAsia" w:ascii="宋体" w:hAnsi="宋体" w:cs="宋体"/>
          <w:b/>
          <w:szCs w:val="21"/>
        </w:rPr>
      </w:pPr>
      <w:bookmarkStart w:id="152" w:name="_Toc144974534"/>
      <w:bookmarkStart w:id="153" w:name="_Toc292897339"/>
      <w:bookmarkStart w:id="154" w:name="_Toc179632584"/>
      <w:bookmarkStart w:id="155" w:name="_Toc152042342"/>
      <w:bookmarkStart w:id="156" w:name="_Toc152045566"/>
      <w:r>
        <w:rPr>
          <w:rFonts w:hint="eastAsia" w:ascii="宋体" w:hAnsi="宋体" w:cs="宋体"/>
          <w:b/>
          <w:szCs w:val="21"/>
        </w:rPr>
        <w:t>7．合同授予</w:t>
      </w:r>
      <w:bookmarkEnd w:id="152"/>
      <w:bookmarkEnd w:id="153"/>
      <w:bookmarkEnd w:id="154"/>
      <w:bookmarkEnd w:id="155"/>
      <w:bookmarkEnd w:id="156"/>
    </w:p>
    <w:p w14:paraId="780A1F32">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57" w:name="_Toc179632585"/>
      <w:bookmarkStart w:id="158" w:name="_Toc152045567"/>
      <w:bookmarkStart w:id="159" w:name="_Toc152042343"/>
      <w:bookmarkStart w:id="160" w:name="_Toc144974535"/>
      <w:bookmarkStart w:id="161" w:name="_Toc292897340"/>
      <w:r>
        <w:rPr>
          <w:rFonts w:hint="eastAsia" w:ascii="宋体" w:hAnsi="宋体" w:cs="宋体"/>
          <w:b/>
          <w:szCs w:val="21"/>
        </w:rPr>
        <w:t>7.1 定标方式</w:t>
      </w:r>
      <w:bookmarkEnd w:id="157"/>
      <w:bookmarkEnd w:id="158"/>
      <w:bookmarkEnd w:id="159"/>
      <w:bookmarkEnd w:id="160"/>
      <w:bookmarkEnd w:id="161"/>
    </w:p>
    <w:p w14:paraId="312398D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62" w:name="_Toc179632586"/>
      <w:bookmarkStart w:id="163" w:name="_Toc144974536"/>
      <w:bookmarkStart w:id="164" w:name="_Toc152045568"/>
      <w:bookmarkStart w:id="165" w:name="_Toc292897341"/>
      <w:bookmarkStart w:id="166" w:name="_Toc152042344"/>
      <w:r>
        <w:rPr>
          <w:rFonts w:hint="eastAsia" w:ascii="宋体" w:hAnsi="宋体" w:cs="宋体"/>
          <w:szCs w:val="21"/>
        </w:rPr>
        <w:t>除投标人须知前附表规定评标委员会直接确定中标人外，采购人依据评标委员会推荐的中标候选人确定中标人，评标委员会推荐中标候选人的人数见投标人须知前附表。</w:t>
      </w:r>
    </w:p>
    <w:p w14:paraId="01754CC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7.2 中标通知</w:t>
      </w:r>
      <w:bookmarkEnd w:id="162"/>
      <w:bookmarkEnd w:id="163"/>
      <w:bookmarkEnd w:id="164"/>
      <w:bookmarkEnd w:id="165"/>
      <w:bookmarkEnd w:id="166"/>
    </w:p>
    <w:p w14:paraId="680049D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在本章第3.3款规定的投标有效期内，采购人以书面形式向中标人发出中标通知书，同时将中标结果通知未中标的投标人。</w:t>
      </w:r>
    </w:p>
    <w:p w14:paraId="055B13F3">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7.3 履约担保</w:t>
      </w:r>
    </w:p>
    <w:p w14:paraId="1E9F406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67" w:name="_Toc152045570"/>
      <w:bookmarkStart w:id="168" w:name="_Toc292897342"/>
      <w:bookmarkStart w:id="169" w:name="_Toc179632588"/>
      <w:bookmarkStart w:id="170" w:name="_Toc152042346"/>
      <w:bookmarkStart w:id="171" w:name="_Toc144974538"/>
      <w:r>
        <w:rPr>
          <w:rFonts w:hint="eastAsia" w:ascii="宋体" w:hAnsi="宋体" w:cs="宋体"/>
          <w:szCs w:val="21"/>
        </w:rPr>
        <w:t>7.3.1在签订合同前，中标人应按投标人须知前附表规定的金额、担保形式和招标文件第四章“合同条款及格式”规定的履约担保格式向采购人提交履约担保。联合体中标的，其履约担保由牵头人递交，并应符合投标人须知前附表规定的金额、担保形式和招标文件第四章“合同条款及格式”规定的履约担保格式要求。</w:t>
      </w:r>
    </w:p>
    <w:p w14:paraId="05999AE9">
      <w:pPr>
        <w:pageBreakBefore w:val="0"/>
        <w:widowControl w:val="0"/>
        <w:kinsoku/>
        <w:wordWrap/>
        <w:autoSpaceDE/>
        <w:autoSpaceDN/>
        <w:bidi w:val="0"/>
        <w:adjustRightInd/>
        <w:snapToGrid/>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7.3.2 中标人不能按本章第7.3.1项要求提交履约担保的，视为放弃中标，其投标保证金不予退还，给采购人造成的损失超过投标保证金数额的，中标人还应当对超过部分予以赔偿。</w:t>
      </w:r>
    </w:p>
    <w:p w14:paraId="048CDEC3">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7.4 签订合同</w:t>
      </w:r>
      <w:bookmarkEnd w:id="167"/>
      <w:bookmarkEnd w:id="168"/>
      <w:bookmarkEnd w:id="169"/>
      <w:bookmarkEnd w:id="170"/>
      <w:bookmarkEnd w:id="171"/>
    </w:p>
    <w:p w14:paraId="4D8D6B69">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7.4.1采购人和中标人应当自中标通知书发出之日起15天内，根据招标文件和中标人的投标文件订立书面合同。中标人无正当理由拒签合同的，采购人取消其中标资格，其投标保证金不予退还；给采购人造成的损失超过投标保证金数额的，中标人还应当对超过部分予以赔偿。</w:t>
      </w:r>
    </w:p>
    <w:p w14:paraId="2EB61AB9">
      <w:pPr>
        <w:pageBreakBefore w:val="0"/>
        <w:widowControl w:val="0"/>
        <w:kinsoku/>
        <w:wordWrap/>
        <w:autoSpaceDE/>
        <w:autoSpaceDN/>
        <w:bidi w:val="0"/>
        <w:adjustRightInd/>
        <w:snapToGrid/>
        <w:spacing w:line="360" w:lineRule="auto"/>
        <w:ind w:firstLine="420" w:firstLineChars="200"/>
        <w:rPr>
          <w:rFonts w:hint="eastAsia" w:ascii="宋体" w:hAnsi="宋体" w:cs="宋体"/>
          <w:b/>
          <w:szCs w:val="21"/>
        </w:rPr>
      </w:pPr>
      <w:r>
        <w:rPr>
          <w:rFonts w:hint="eastAsia" w:ascii="宋体" w:hAnsi="宋体" w:cs="宋体"/>
          <w:color w:val="000000"/>
          <w:szCs w:val="21"/>
        </w:rPr>
        <w:t>7.4.2 发出中标通知书后，采购人无正当理由拒签合同的，采购人向中标人退还投标保证金；给中标人造成损失的，还应当赔偿损失。</w:t>
      </w:r>
    </w:p>
    <w:p w14:paraId="15AE314E">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8．重新招标和不再招标</w:t>
      </w:r>
    </w:p>
    <w:p w14:paraId="147BC268">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8.1重新招标：</w:t>
      </w:r>
    </w:p>
    <w:p w14:paraId="10B4203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有下列情形之一的，采购人将重新招标：</w:t>
      </w:r>
    </w:p>
    <w:p w14:paraId="1E2A6933">
      <w:pPr>
        <w:pageBreakBefore w:val="0"/>
        <w:widowControl w:val="0"/>
        <w:numPr>
          <w:ilvl w:val="0"/>
          <w:numId w:val="1"/>
        </w:numPr>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投标截止时间止，投标人少于3个的；</w:t>
      </w:r>
    </w:p>
    <w:p w14:paraId="177107F9">
      <w:pPr>
        <w:pageBreakBefore w:val="0"/>
        <w:widowControl w:val="0"/>
        <w:numPr>
          <w:ilvl w:val="0"/>
          <w:numId w:val="1"/>
        </w:numPr>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经评标委员会评审后否决所有投标的。</w:t>
      </w:r>
    </w:p>
    <w:p w14:paraId="1790BB2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r>
        <w:rPr>
          <w:rFonts w:hint="eastAsia" w:ascii="宋体" w:hAnsi="宋体" w:cs="宋体"/>
          <w:b/>
          <w:szCs w:val="21"/>
        </w:rPr>
        <w:t>8.2不再招标：</w:t>
      </w:r>
    </w:p>
    <w:p w14:paraId="75DFA6FA">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bookmarkStart w:id="172" w:name="_Toc144974542"/>
      <w:bookmarkStart w:id="173" w:name="_Toc292897344"/>
      <w:bookmarkStart w:id="174" w:name="_Toc152045574"/>
      <w:bookmarkStart w:id="175" w:name="_Toc152042350"/>
      <w:bookmarkStart w:id="176" w:name="_Toc179632592"/>
      <w:r>
        <w:rPr>
          <w:rFonts w:hint="eastAsia" w:ascii="宋体" w:hAnsi="宋体" w:cs="宋体"/>
          <w:szCs w:val="21"/>
        </w:rPr>
        <w:t>重新招标后投标截止时间止，投标人仍少于3个或者所有投标被否决的，属于必须审批或核准的工程建设项目，经原审批或核准部门批准后不再进行招标。</w:t>
      </w:r>
    </w:p>
    <w:p w14:paraId="6BBCAFB3">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9．纪律和监督</w:t>
      </w:r>
      <w:bookmarkEnd w:id="172"/>
      <w:bookmarkEnd w:id="173"/>
      <w:bookmarkEnd w:id="174"/>
      <w:bookmarkEnd w:id="175"/>
      <w:bookmarkEnd w:id="176"/>
    </w:p>
    <w:p w14:paraId="44C5BD7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77" w:name="_Toc179632593"/>
      <w:bookmarkStart w:id="178" w:name="_Toc152042351"/>
      <w:bookmarkStart w:id="179" w:name="_Toc144974543"/>
      <w:bookmarkStart w:id="180" w:name="_Toc292897345"/>
      <w:bookmarkStart w:id="181" w:name="_Toc152045575"/>
      <w:r>
        <w:rPr>
          <w:rFonts w:hint="eastAsia" w:ascii="宋体" w:hAnsi="宋体" w:cs="宋体"/>
          <w:b/>
          <w:szCs w:val="21"/>
        </w:rPr>
        <w:t>9.1 对采购人的纪律要求</w:t>
      </w:r>
      <w:bookmarkEnd w:id="177"/>
      <w:bookmarkEnd w:id="178"/>
      <w:bookmarkEnd w:id="179"/>
      <w:bookmarkEnd w:id="180"/>
      <w:bookmarkEnd w:id="181"/>
    </w:p>
    <w:p w14:paraId="505A00AB">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采购人不得泄漏招标投标活动中应当保密的情况和资料，不得与投标人串通损害国家利益、社会公共利益或者他人合法权益。</w:t>
      </w:r>
    </w:p>
    <w:p w14:paraId="5FA310AB">
      <w:pPr>
        <w:pageBreakBefore w:val="0"/>
        <w:widowControl w:val="0"/>
        <w:kinsoku/>
        <w:wordWrap/>
        <w:autoSpaceDE/>
        <w:autoSpaceDN/>
        <w:bidi w:val="0"/>
        <w:adjustRightInd/>
        <w:snapToGrid/>
        <w:spacing w:line="360" w:lineRule="auto"/>
        <w:ind w:firstLine="422" w:firstLineChars="200"/>
        <w:outlineLvl w:val="2"/>
        <w:rPr>
          <w:rFonts w:hint="eastAsia" w:ascii="宋体" w:hAnsi="宋体" w:cs="宋体"/>
          <w:b/>
          <w:szCs w:val="21"/>
        </w:rPr>
      </w:pPr>
      <w:bookmarkStart w:id="182" w:name="_Toc152045576"/>
      <w:bookmarkStart w:id="183" w:name="_Toc152042352"/>
      <w:bookmarkStart w:id="184" w:name="_Toc292897346"/>
      <w:bookmarkStart w:id="185" w:name="_Toc144974544"/>
      <w:bookmarkStart w:id="186" w:name="_Toc179632594"/>
      <w:r>
        <w:rPr>
          <w:rFonts w:hint="eastAsia" w:ascii="宋体" w:hAnsi="宋体" w:cs="宋体"/>
          <w:b/>
          <w:szCs w:val="21"/>
        </w:rPr>
        <w:t>9.2 对投标人的纪律要求</w:t>
      </w:r>
      <w:bookmarkEnd w:id="182"/>
      <w:bookmarkEnd w:id="183"/>
      <w:bookmarkEnd w:id="184"/>
      <w:bookmarkEnd w:id="185"/>
      <w:bookmarkEnd w:id="186"/>
    </w:p>
    <w:p w14:paraId="56840A17">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不得相互串通投标或者与采购人串通投标，不得向采购人或者评标委员会成员行贿谋取中标，不得以他人名义投标或者以其他方式弄虚作假骗取中标；投标人不得以任何方式干扰、影响评标工作。如发现投标人有上述不正当行为，将取消其投标资格或中标资格。</w:t>
      </w:r>
    </w:p>
    <w:p w14:paraId="6ABA3E90">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bookmarkStart w:id="187" w:name="_Toc144974545"/>
      <w:bookmarkStart w:id="188" w:name="_Toc152045577"/>
      <w:bookmarkStart w:id="189" w:name="_Toc292897347"/>
      <w:bookmarkStart w:id="190" w:name="_Toc152042353"/>
      <w:bookmarkStart w:id="191" w:name="_Toc179632595"/>
      <w:r>
        <w:rPr>
          <w:rFonts w:hint="eastAsia" w:ascii="宋体" w:hAnsi="宋体" w:cs="宋体"/>
          <w:b/>
          <w:szCs w:val="21"/>
        </w:rPr>
        <w:t>9.3 对评标委员会成员的纪律要求</w:t>
      </w:r>
      <w:bookmarkEnd w:id="187"/>
      <w:bookmarkEnd w:id="188"/>
      <w:bookmarkEnd w:id="189"/>
      <w:bookmarkEnd w:id="190"/>
      <w:bookmarkEnd w:id="191"/>
    </w:p>
    <w:p w14:paraId="0315F77E">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528FA44A">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bookmarkStart w:id="192" w:name="_Toc144974546"/>
      <w:bookmarkStart w:id="193" w:name="_Toc179632596"/>
      <w:bookmarkStart w:id="194" w:name="_Toc152042354"/>
      <w:bookmarkStart w:id="195" w:name="_Toc152045578"/>
      <w:bookmarkStart w:id="196" w:name="_Toc292897348"/>
      <w:r>
        <w:rPr>
          <w:rFonts w:hint="eastAsia" w:ascii="宋体" w:hAnsi="宋体" w:cs="宋体"/>
          <w:b/>
          <w:szCs w:val="21"/>
        </w:rPr>
        <w:t>9.4 对与评标活动有关的工作人员和纪律要求</w:t>
      </w:r>
    </w:p>
    <w:p w14:paraId="5010BEDC">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与评标活动有关的工作人员不得收受他人的财物或者其他好处，不得向他人透漏对投标文件评审和比较、中标候选人的推荐情况及评标有关的其他情况。在评标活动中，与评标活动有关的工作人员不得擅离职守，影响评标程序正常进行。</w:t>
      </w:r>
    </w:p>
    <w:p w14:paraId="7BA6D7B2">
      <w:pPr>
        <w:pageBreakBefore w:val="0"/>
        <w:widowControl w:val="0"/>
        <w:kinsoku/>
        <w:wordWrap/>
        <w:autoSpaceDE/>
        <w:autoSpaceDN/>
        <w:bidi w:val="0"/>
        <w:adjustRightInd/>
        <w:snapToGrid/>
        <w:spacing w:line="360" w:lineRule="auto"/>
        <w:ind w:firstLine="422" w:firstLineChars="200"/>
        <w:rPr>
          <w:rFonts w:hint="eastAsia" w:ascii="宋体" w:hAnsi="宋体" w:cs="宋体"/>
          <w:b/>
          <w:szCs w:val="21"/>
        </w:rPr>
      </w:pPr>
      <w:r>
        <w:rPr>
          <w:rFonts w:hint="eastAsia" w:ascii="宋体" w:hAnsi="宋体" w:cs="宋体"/>
          <w:b/>
          <w:szCs w:val="21"/>
        </w:rPr>
        <w:t>9.5投诉</w:t>
      </w:r>
    </w:p>
    <w:p w14:paraId="2254C51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投标人和其他利害关系人认为本次招标活动违反法律、法规和规章规定的，有权向有关行政监督部门投诉。</w:t>
      </w:r>
    </w:p>
    <w:p w14:paraId="4333C73C">
      <w:pPr>
        <w:pageBreakBefore w:val="0"/>
        <w:widowControl w:val="0"/>
        <w:kinsoku/>
        <w:wordWrap/>
        <w:autoSpaceDE/>
        <w:autoSpaceDN/>
        <w:bidi w:val="0"/>
        <w:adjustRightInd/>
        <w:snapToGrid/>
        <w:spacing w:line="360" w:lineRule="auto"/>
        <w:outlineLvl w:val="1"/>
        <w:rPr>
          <w:rFonts w:hint="eastAsia" w:ascii="宋体" w:hAnsi="宋体" w:cs="宋体"/>
          <w:b/>
          <w:szCs w:val="21"/>
        </w:rPr>
      </w:pPr>
      <w:r>
        <w:rPr>
          <w:rFonts w:hint="eastAsia" w:ascii="宋体" w:hAnsi="宋体" w:cs="宋体"/>
          <w:b/>
          <w:szCs w:val="21"/>
        </w:rPr>
        <w:t>10．需要补充的其他内容</w:t>
      </w:r>
    </w:p>
    <w:p w14:paraId="56471C43">
      <w:pPr>
        <w:pageBreakBefore w:val="0"/>
        <w:widowControl w:val="0"/>
        <w:kinsoku/>
        <w:wordWrap/>
        <w:autoSpaceDE/>
        <w:autoSpaceDN/>
        <w:bidi w:val="0"/>
        <w:adjustRightInd/>
        <w:snapToGrid/>
        <w:spacing w:line="360" w:lineRule="auto"/>
        <w:ind w:firstLine="420" w:firstLineChars="200"/>
        <w:rPr>
          <w:rFonts w:hint="eastAsia" w:ascii="宋体" w:hAnsi="宋体" w:cs="宋体"/>
          <w:szCs w:val="21"/>
        </w:rPr>
      </w:pPr>
      <w:r>
        <w:rPr>
          <w:rFonts w:hint="eastAsia" w:ascii="宋体" w:hAnsi="宋体" w:cs="宋体"/>
          <w:szCs w:val="21"/>
        </w:rPr>
        <w:t>需要补充的其他内容：见投标人须知前附表</w:t>
      </w:r>
    </w:p>
    <w:bookmarkEnd w:id="192"/>
    <w:bookmarkEnd w:id="193"/>
    <w:bookmarkEnd w:id="194"/>
    <w:bookmarkEnd w:id="195"/>
    <w:bookmarkEnd w:id="196"/>
    <w:p w14:paraId="7F7E4730">
      <w:bookmarkStart w:id="197" w:name="_Toc119784537"/>
      <w:r>
        <w:rPr>
          <w:rFonts w:hint="eastAsia"/>
        </w:rPr>
        <w:br w:type="page"/>
      </w:r>
    </w:p>
    <w:p w14:paraId="1A56F70F">
      <w:pPr>
        <w:jc w:val="center"/>
        <w:rPr>
          <w:b/>
          <w:bCs/>
          <w:sz w:val="32"/>
          <w:szCs w:val="40"/>
        </w:rPr>
      </w:pPr>
      <w:r>
        <w:rPr>
          <w:rFonts w:hint="eastAsia"/>
          <w:b/>
          <w:bCs/>
          <w:sz w:val="32"/>
          <w:szCs w:val="40"/>
        </w:rPr>
        <w:t>第三章  评标办法</w:t>
      </w:r>
      <w:bookmarkEnd w:id="197"/>
    </w:p>
    <w:p w14:paraId="4A82C593">
      <w:pPr>
        <w:spacing w:line="480" w:lineRule="auto"/>
        <w:jc w:val="center"/>
        <w:outlineLvl w:val="1"/>
        <w:rPr>
          <w:rFonts w:hint="eastAsia" w:ascii="宋体" w:hAnsi="宋体"/>
          <w:b/>
          <w:sz w:val="28"/>
          <w:szCs w:val="28"/>
        </w:rPr>
      </w:pPr>
      <w:r>
        <w:rPr>
          <w:rFonts w:hint="eastAsia" w:ascii="宋体" w:hAnsi="宋体"/>
          <w:b/>
          <w:sz w:val="28"/>
          <w:szCs w:val="28"/>
        </w:rPr>
        <w:t>评标办法前附表</w:t>
      </w:r>
    </w:p>
    <w:tbl>
      <w:tblPr>
        <w:tblStyle w:val="21"/>
        <w:tblW w:w="99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2"/>
        <w:gridCol w:w="909"/>
        <w:gridCol w:w="273"/>
        <w:gridCol w:w="957"/>
        <w:gridCol w:w="1803"/>
        <w:gridCol w:w="26"/>
        <w:gridCol w:w="4913"/>
      </w:tblGrid>
      <w:tr w14:paraId="69EF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207" w:type="dxa"/>
            <w:gridSpan w:val="4"/>
            <w:vAlign w:val="center"/>
          </w:tcPr>
          <w:p w14:paraId="01E873CD">
            <w:pPr>
              <w:spacing w:line="300" w:lineRule="exact"/>
              <w:jc w:val="center"/>
              <w:rPr>
                <w:rFonts w:hint="eastAsia" w:ascii="宋体" w:hAnsi="宋体"/>
                <w:b/>
                <w:szCs w:val="21"/>
              </w:rPr>
            </w:pPr>
            <w:bookmarkStart w:id="198" w:name="_Toc152045600"/>
            <w:bookmarkStart w:id="199" w:name="_Toc152042377"/>
            <w:bookmarkStart w:id="200" w:name="_Toc358873695"/>
            <w:bookmarkStart w:id="201" w:name="_Toc144974567"/>
            <w:bookmarkStart w:id="202" w:name="_Toc179632618"/>
            <w:r>
              <w:rPr>
                <w:rFonts w:hint="eastAsia" w:ascii="宋体" w:hAnsi="宋体"/>
                <w:b/>
                <w:szCs w:val="21"/>
              </w:rPr>
              <w:t>条款号</w:t>
            </w:r>
          </w:p>
        </w:tc>
        <w:tc>
          <w:tcPr>
            <w:tcW w:w="2786" w:type="dxa"/>
            <w:gridSpan w:val="3"/>
            <w:vAlign w:val="center"/>
          </w:tcPr>
          <w:p w14:paraId="617067F1">
            <w:pPr>
              <w:spacing w:line="300" w:lineRule="exact"/>
              <w:jc w:val="center"/>
              <w:rPr>
                <w:rFonts w:hint="eastAsia" w:ascii="宋体" w:hAnsi="宋体"/>
                <w:b/>
                <w:szCs w:val="21"/>
              </w:rPr>
            </w:pPr>
            <w:r>
              <w:rPr>
                <w:rFonts w:hint="eastAsia" w:ascii="宋体" w:hAnsi="宋体"/>
                <w:b/>
                <w:szCs w:val="21"/>
              </w:rPr>
              <w:t>评审因素</w:t>
            </w:r>
          </w:p>
        </w:tc>
        <w:tc>
          <w:tcPr>
            <w:tcW w:w="4913" w:type="dxa"/>
            <w:vAlign w:val="center"/>
          </w:tcPr>
          <w:p w14:paraId="353B4132">
            <w:pPr>
              <w:spacing w:line="300" w:lineRule="exact"/>
              <w:jc w:val="center"/>
              <w:rPr>
                <w:rFonts w:hint="eastAsia" w:ascii="宋体" w:hAnsi="宋体"/>
                <w:b/>
                <w:szCs w:val="21"/>
              </w:rPr>
            </w:pPr>
            <w:r>
              <w:rPr>
                <w:rFonts w:hint="eastAsia" w:ascii="宋体" w:hAnsi="宋体"/>
                <w:b/>
                <w:szCs w:val="21"/>
              </w:rPr>
              <w:t>评审标准</w:t>
            </w:r>
          </w:p>
        </w:tc>
      </w:tr>
      <w:tr w14:paraId="25E3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25" w:type="dxa"/>
            <w:gridSpan w:val="2"/>
            <w:vMerge w:val="restart"/>
            <w:vAlign w:val="center"/>
          </w:tcPr>
          <w:p w14:paraId="2E002E4D">
            <w:pPr>
              <w:spacing w:line="300" w:lineRule="exact"/>
              <w:jc w:val="center"/>
              <w:rPr>
                <w:rFonts w:hint="eastAsia" w:ascii="宋体" w:hAnsi="宋体"/>
                <w:szCs w:val="21"/>
              </w:rPr>
            </w:pPr>
            <w:r>
              <w:rPr>
                <w:rFonts w:hint="eastAsia" w:ascii="宋体" w:hAnsi="宋体"/>
                <w:szCs w:val="21"/>
              </w:rPr>
              <w:t>2.1.1</w:t>
            </w:r>
          </w:p>
        </w:tc>
        <w:tc>
          <w:tcPr>
            <w:tcW w:w="1182" w:type="dxa"/>
            <w:gridSpan w:val="2"/>
            <w:vMerge w:val="restart"/>
            <w:vAlign w:val="center"/>
          </w:tcPr>
          <w:p w14:paraId="050333B8">
            <w:pPr>
              <w:spacing w:line="300" w:lineRule="exact"/>
              <w:jc w:val="center"/>
              <w:rPr>
                <w:rFonts w:hint="eastAsia" w:ascii="宋体" w:hAnsi="宋体"/>
                <w:szCs w:val="21"/>
              </w:rPr>
            </w:pPr>
            <w:r>
              <w:rPr>
                <w:rFonts w:hint="eastAsia" w:ascii="宋体" w:hAnsi="宋体"/>
                <w:szCs w:val="21"/>
              </w:rPr>
              <w:t>资格评审</w:t>
            </w:r>
          </w:p>
          <w:p w14:paraId="32693331">
            <w:pPr>
              <w:spacing w:line="300" w:lineRule="exact"/>
              <w:jc w:val="center"/>
              <w:rPr>
                <w:rFonts w:hint="eastAsia" w:ascii="宋体" w:hAnsi="宋体"/>
                <w:szCs w:val="21"/>
              </w:rPr>
            </w:pPr>
            <w:r>
              <w:rPr>
                <w:rFonts w:hint="eastAsia" w:ascii="宋体" w:hAnsi="宋体"/>
                <w:szCs w:val="21"/>
              </w:rPr>
              <w:t>标准</w:t>
            </w:r>
          </w:p>
        </w:tc>
        <w:tc>
          <w:tcPr>
            <w:tcW w:w="7699" w:type="dxa"/>
            <w:gridSpan w:val="4"/>
            <w:vAlign w:val="center"/>
          </w:tcPr>
          <w:p w14:paraId="08AC8762">
            <w:pPr>
              <w:rPr>
                <w:rFonts w:ascii="宋体" w:hAnsi="宋体"/>
                <w:szCs w:val="21"/>
              </w:rPr>
            </w:pPr>
            <w:r>
              <w:rPr>
                <w:rFonts w:hint="eastAsia" w:ascii="宋体" w:hAnsi="宋体"/>
                <w:szCs w:val="21"/>
              </w:rPr>
              <w:t>符合第二章“投标人须知前附表”第</w:t>
            </w:r>
            <w:r>
              <w:rPr>
                <w:rFonts w:ascii="宋体" w:hAnsi="宋体"/>
                <w:szCs w:val="21"/>
              </w:rPr>
              <w:t>12</w:t>
            </w:r>
            <w:r>
              <w:rPr>
                <w:rFonts w:hint="eastAsia" w:ascii="宋体" w:hAnsi="宋体"/>
                <w:szCs w:val="21"/>
              </w:rPr>
              <w:t>项规定。</w:t>
            </w:r>
          </w:p>
          <w:p w14:paraId="5F673DE7">
            <w:pPr>
              <w:rPr>
                <w:rFonts w:hint="eastAsia" w:ascii="宋体" w:hAnsi="宋体"/>
                <w:szCs w:val="21"/>
              </w:rPr>
            </w:pPr>
            <w:bookmarkStart w:id="203" w:name="OLE_LINK3"/>
            <w:r>
              <w:rPr>
                <w:rFonts w:hint="eastAsia" w:ascii="宋体" w:hAnsi="宋体"/>
                <w:szCs w:val="21"/>
              </w:rPr>
              <w:t>按照《</w:t>
            </w:r>
            <w:r>
              <w:rPr>
                <w:rFonts w:ascii="宋体" w:hAnsi="宋体"/>
                <w:szCs w:val="21"/>
              </w:rPr>
              <w:t>政府采购货物和服务招标投标管理办法</w:t>
            </w:r>
            <w:r>
              <w:rPr>
                <w:rFonts w:hint="eastAsia" w:ascii="宋体" w:hAnsi="宋体"/>
                <w:szCs w:val="21"/>
              </w:rPr>
              <w:t>》</w:t>
            </w:r>
            <w:r>
              <w:rPr>
                <w:rFonts w:ascii="宋体" w:hAnsi="宋体"/>
                <w:szCs w:val="21"/>
              </w:rPr>
              <w:t>中华人民共和国财政部令第87 号</w:t>
            </w:r>
            <w:r>
              <w:rPr>
                <w:rFonts w:hint="eastAsia" w:ascii="宋体" w:hAnsi="宋体"/>
                <w:szCs w:val="21"/>
              </w:rPr>
              <w:t>中</w:t>
            </w:r>
            <w:r>
              <w:rPr>
                <w:rFonts w:ascii="宋体" w:hAnsi="宋体"/>
                <w:szCs w:val="21"/>
              </w:rPr>
              <w:t>第四十四条</w:t>
            </w:r>
            <w:r>
              <w:rPr>
                <w:rFonts w:hint="eastAsia" w:ascii="宋体" w:hAnsi="宋体"/>
                <w:szCs w:val="21"/>
              </w:rPr>
              <w:t>规定，</w:t>
            </w:r>
            <w:r>
              <w:rPr>
                <w:rFonts w:ascii="宋体" w:hAnsi="宋体"/>
                <w:szCs w:val="21"/>
              </w:rPr>
              <w:t>公开招标采购项目开标结束后，采购人或者采购代理机构</w:t>
            </w:r>
            <w:r>
              <w:rPr>
                <w:rFonts w:hint="eastAsia" w:ascii="宋体" w:hAnsi="宋体"/>
                <w:szCs w:val="21"/>
              </w:rPr>
              <w:t>应当</w:t>
            </w:r>
            <w:r>
              <w:rPr>
                <w:rFonts w:ascii="宋体" w:hAnsi="宋体"/>
                <w:szCs w:val="21"/>
              </w:rPr>
              <w:t>依法对投标人的资格进行审查。</w:t>
            </w:r>
            <w:r>
              <w:rPr>
                <w:rFonts w:hint="eastAsia" w:ascii="宋体" w:hAnsi="宋体"/>
                <w:szCs w:val="21"/>
              </w:rPr>
              <w:t>本项目资格审查由采购人或代理机构完成。</w:t>
            </w:r>
            <w:bookmarkEnd w:id="203"/>
          </w:p>
        </w:tc>
      </w:tr>
      <w:tr w14:paraId="31EA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restart"/>
            <w:vAlign w:val="center"/>
          </w:tcPr>
          <w:p w14:paraId="2EF6F3E3">
            <w:pPr>
              <w:spacing w:line="300" w:lineRule="exact"/>
              <w:jc w:val="center"/>
              <w:rPr>
                <w:rFonts w:hint="eastAsia" w:ascii="宋体" w:hAnsi="宋体"/>
                <w:szCs w:val="21"/>
              </w:rPr>
            </w:pPr>
            <w:r>
              <w:rPr>
                <w:rFonts w:hint="eastAsia" w:ascii="宋体" w:hAnsi="宋体"/>
                <w:szCs w:val="21"/>
              </w:rPr>
              <w:t>2.1.2</w:t>
            </w:r>
          </w:p>
        </w:tc>
        <w:tc>
          <w:tcPr>
            <w:tcW w:w="1182" w:type="dxa"/>
            <w:gridSpan w:val="2"/>
            <w:vMerge w:val="restart"/>
            <w:vAlign w:val="center"/>
          </w:tcPr>
          <w:p w14:paraId="2BCA9A5F">
            <w:pPr>
              <w:spacing w:line="300" w:lineRule="exact"/>
              <w:jc w:val="center"/>
              <w:rPr>
                <w:rFonts w:hint="eastAsia" w:ascii="宋体" w:hAnsi="宋体"/>
                <w:szCs w:val="21"/>
              </w:rPr>
            </w:pPr>
            <w:r>
              <w:rPr>
                <w:rFonts w:hint="eastAsia" w:ascii="宋体" w:hAnsi="宋体"/>
                <w:szCs w:val="21"/>
              </w:rPr>
              <w:t>形式评审</w:t>
            </w:r>
          </w:p>
          <w:p w14:paraId="52F72933">
            <w:pPr>
              <w:spacing w:line="300" w:lineRule="exact"/>
              <w:jc w:val="center"/>
              <w:rPr>
                <w:rFonts w:hint="eastAsia" w:ascii="宋体" w:hAnsi="宋体"/>
                <w:szCs w:val="21"/>
              </w:rPr>
            </w:pPr>
            <w:r>
              <w:rPr>
                <w:rFonts w:hint="eastAsia" w:ascii="宋体" w:hAnsi="宋体"/>
                <w:szCs w:val="21"/>
              </w:rPr>
              <w:t>标准</w:t>
            </w:r>
          </w:p>
        </w:tc>
        <w:tc>
          <w:tcPr>
            <w:tcW w:w="2760" w:type="dxa"/>
            <w:gridSpan w:val="2"/>
            <w:vAlign w:val="center"/>
          </w:tcPr>
          <w:p w14:paraId="6EF46C48">
            <w:pPr>
              <w:jc w:val="center"/>
              <w:rPr>
                <w:rFonts w:hint="eastAsia" w:ascii="宋体" w:hAnsi="宋体"/>
                <w:szCs w:val="21"/>
              </w:rPr>
            </w:pPr>
            <w:r>
              <w:rPr>
                <w:rFonts w:hint="eastAsia" w:ascii="宋体" w:hAnsi="宋体"/>
                <w:szCs w:val="21"/>
              </w:rPr>
              <w:t>投标人名称</w:t>
            </w:r>
          </w:p>
        </w:tc>
        <w:tc>
          <w:tcPr>
            <w:tcW w:w="4939" w:type="dxa"/>
            <w:gridSpan w:val="2"/>
            <w:vAlign w:val="center"/>
          </w:tcPr>
          <w:p w14:paraId="2A2F6ED1">
            <w:pPr>
              <w:rPr>
                <w:rFonts w:hint="eastAsia" w:ascii="宋体" w:hAnsi="宋体"/>
                <w:szCs w:val="21"/>
              </w:rPr>
            </w:pPr>
            <w:r>
              <w:rPr>
                <w:rFonts w:hint="eastAsia" w:ascii="宋体" w:hAnsi="宋体"/>
                <w:szCs w:val="21"/>
              </w:rPr>
              <w:t>与营业执照一致</w:t>
            </w:r>
          </w:p>
        </w:tc>
      </w:tr>
      <w:tr w14:paraId="1C8C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continue"/>
            <w:vAlign w:val="center"/>
          </w:tcPr>
          <w:p w14:paraId="5E993C8C">
            <w:pPr>
              <w:spacing w:line="300" w:lineRule="exact"/>
              <w:jc w:val="center"/>
              <w:rPr>
                <w:rFonts w:hint="eastAsia" w:ascii="宋体" w:hAnsi="宋体"/>
                <w:szCs w:val="21"/>
              </w:rPr>
            </w:pPr>
          </w:p>
        </w:tc>
        <w:tc>
          <w:tcPr>
            <w:tcW w:w="1182" w:type="dxa"/>
            <w:gridSpan w:val="2"/>
            <w:vMerge w:val="continue"/>
            <w:vAlign w:val="center"/>
          </w:tcPr>
          <w:p w14:paraId="37B4A5CB">
            <w:pPr>
              <w:spacing w:line="300" w:lineRule="exact"/>
              <w:jc w:val="center"/>
              <w:rPr>
                <w:rFonts w:hint="eastAsia" w:ascii="宋体" w:hAnsi="宋体"/>
                <w:szCs w:val="21"/>
              </w:rPr>
            </w:pPr>
          </w:p>
        </w:tc>
        <w:tc>
          <w:tcPr>
            <w:tcW w:w="2760" w:type="dxa"/>
            <w:gridSpan w:val="2"/>
            <w:vAlign w:val="center"/>
          </w:tcPr>
          <w:p w14:paraId="28493BE8">
            <w:pPr>
              <w:jc w:val="center"/>
              <w:rPr>
                <w:rFonts w:hint="eastAsia" w:ascii="宋体" w:hAnsi="宋体"/>
                <w:szCs w:val="21"/>
              </w:rPr>
            </w:pPr>
            <w:r>
              <w:rPr>
                <w:rFonts w:hint="eastAsia" w:ascii="宋体" w:hAnsi="宋体"/>
                <w:szCs w:val="21"/>
              </w:rPr>
              <w:t>投标函签字盖章</w:t>
            </w:r>
          </w:p>
        </w:tc>
        <w:tc>
          <w:tcPr>
            <w:tcW w:w="4939" w:type="dxa"/>
            <w:gridSpan w:val="2"/>
            <w:vAlign w:val="center"/>
          </w:tcPr>
          <w:p w14:paraId="57950BB8">
            <w:pPr>
              <w:rPr>
                <w:rFonts w:hint="eastAsia" w:ascii="宋体" w:hAnsi="宋体"/>
                <w:szCs w:val="21"/>
              </w:rPr>
            </w:pPr>
            <w:r>
              <w:rPr>
                <w:rFonts w:hint="eastAsia" w:ascii="宋体" w:hAnsi="宋体" w:cs="宋体"/>
                <w:szCs w:val="21"/>
              </w:rPr>
              <w:t>按照投标文件的格式及要求签字盖章</w:t>
            </w:r>
          </w:p>
        </w:tc>
      </w:tr>
      <w:tr w14:paraId="17FE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continue"/>
            <w:vAlign w:val="center"/>
          </w:tcPr>
          <w:p w14:paraId="5A45D892">
            <w:pPr>
              <w:spacing w:line="300" w:lineRule="exact"/>
              <w:jc w:val="center"/>
              <w:rPr>
                <w:rFonts w:hint="eastAsia" w:ascii="宋体" w:hAnsi="宋体"/>
                <w:szCs w:val="21"/>
              </w:rPr>
            </w:pPr>
          </w:p>
        </w:tc>
        <w:tc>
          <w:tcPr>
            <w:tcW w:w="1182" w:type="dxa"/>
            <w:gridSpan w:val="2"/>
            <w:vMerge w:val="continue"/>
            <w:vAlign w:val="center"/>
          </w:tcPr>
          <w:p w14:paraId="44924862">
            <w:pPr>
              <w:spacing w:line="300" w:lineRule="exact"/>
              <w:jc w:val="center"/>
              <w:rPr>
                <w:rFonts w:hint="eastAsia" w:ascii="宋体" w:hAnsi="宋体"/>
                <w:szCs w:val="21"/>
              </w:rPr>
            </w:pPr>
          </w:p>
        </w:tc>
        <w:tc>
          <w:tcPr>
            <w:tcW w:w="2760" w:type="dxa"/>
            <w:gridSpan w:val="2"/>
            <w:vAlign w:val="center"/>
          </w:tcPr>
          <w:p w14:paraId="3AEFAE4B">
            <w:pPr>
              <w:jc w:val="center"/>
              <w:rPr>
                <w:rFonts w:hint="eastAsia" w:ascii="宋体" w:hAnsi="宋体"/>
                <w:szCs w:val="21"/>
              </w:rPr>
            </w:pPr>
            <w:r>
              <w:rPr>
                <w:rFonts w:hint="eastAsia" w:ascii="宋体" w:hAnsi="宋体"/>
                <w:szCs w:val="21"/>
              </w:rPr>
              <w:t>投标文件格式</w:t>
            </w:r>
          </w:p>
        </w:tc>
        <w:tc>
          <w:tcPr>
            <w:tcW w:w="4939" w:type="dxa"/>
            <w:gridSpan w:val="2"/>
            <w:vAlign w:val="center"/>
          </w:tcPr>
          <w:p w14:paraId="69337309">
            <w:pPr>
              <w:rPr>
                <w:rFonts w:hint="eastAsia" w:ascii="宋体" w:hAnsi="宋体"/>
                <w:szCs w:val="21"/>
              </w:rPr>
            </w:pPr>
            <w:r>
              <w:rPr>
                <w:rFonts w:hint="eastAsia" w:ascii="宋体" w:hAnsi="宋体"/>
                <w:szCs w:val="21"/>
              </w:rPr>
              <w:t>符合第六章“投标文件格式”的要求</w:t>
            </w:r>
          </w:p>
        </w:tc>
      </w:tr>
      <w:tr w14:paraId="118A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025" w:type="dxa"/>
            <w:gridSpan w:val="2"/>
            <w:vMerge w:val="continue"/>
            <w:vAlign w:val="center"/>
          </w:tcPr>
          <w:p w14:paraId="40B3C6BB">
            <w:pPr>
              <w:spacing w:line="300" w:lineRule="exact"/>
              <w:jc w:val="center"/>
              <w:rPr>
                <w:rFonts w:hint="eastAsia" w:ascii="宋体" w:hAnsi="宋体"/>
                <w:szCs w:val="21"/>
              </w:rPr>
            </w:pPr>
          </w:p>
        </w:tc>
        <w:tc>
          <w:tcPr>
            <w:tcW w:w="1182" w:type="dxa"/>
            <w:gridSpan w:val="2"/>
            <w:vMerge w:val="continue"/>
            <w:vAlign w:val="center"/>
          </w:tcPr>
          <w:p w14:paraId="4BDBBA4A">
            <w:pPr>
              <w:spacing w:line="300" w:lineRule="exact"/>
              <w:jc w:val="center"/>
              <w:rPr>
                <w:rFonts w:hint="eastAsia" w:ascii="宋体" w:hAnsi="宋体"/>
                <w:szCs w:val="21"/>
              </w:rPr>
            </w:pPr>
          </w:p>
        </w:tc>
        <w:tc>
          <w:tcPr>
            <w:tcW w:w="2760" w:type="dxa"/>
            <w:gridSpan w:val="2"/>
            <w:vAlign w:val="center"/>
          </w:tcPr>
          <w:p w14:paraId="4786983A">
            <w:pPr>
              <w:jc w:val="center"/>
              <w:rPr>
                <w:rFonts w:hint="eastAsia" w:ascii="宋体" w:hAnsi="宋体"/>
                <w:szCs w:val="21"/>
              </w:rPr>
            </w:pPr>
            <w:r>
              <w:rPr>
                <w:rFonts w:hint="eastAsia" w:ascii="宋体" w:hAnsi="宋体"/>
                <w:szCs w:val="21"/>
              </w:rPr>
              <w:t>报价唯一</w:t>
            </w:r>
          </w:p>
        </w:tc>
        <w:tc>
          <w:tcPr>
            <w:tcW w:w="4939" w:type="dxa"/>
            <w:gridSpan w:val="2"/>
            <w:vAlign w:val="center"/>
          </w:tcPr>
          <w:p w14:paraId="549A6246">
            <w:pPr>
              <w:rPr>
                <w:rFonts w:hint="eastAsia" w:ascii="宋体" w:hAnsi="宋体"/>
                <w:szCs w:val="21"/>
              </w:rPr>
            </w:pPr>
            <w:r>
              <w:rPr>
                <w:rFonts w:hint="eastAsia" w:ascii="宋体" w:hAnsi="宋体"/>
                <w:szCs w:val="21"/>
              </w:rPr>
              <w:t>只能有一个有效报价</w:t>
            </w:r>
          </w:p>
        </w:tc>
      </w:tr>
      <w:tr w14:paraId="219E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25" w:type="dxa"/>
            <w:gridSpan w:val="2"/>
            <w:vMerge w:val="restart"/>
            <w:vAlign w:val="center"/>
          </w:tcPr>
          <w:p w14:paraId="511EA388">
            <w:pPr>
              <w:spacing w:line="300" w:lineRule="exact"/>
              <w:jc w:val="center"/>
              <w:rPr>
                <w:rFonts w:hint="eastAsia" w:ascii="宋体" w:hAnsi="宋体"/>
                <w:szCs w:val="21"/>
              </w:rPr>
            </w:pPr>
            <w:r>
              <w:rPr>
                <w:rFonts w:hint="eastAsia" w:ascii="宋体" w:hAnsi="宋体"/>
                <w:szCs w:val="21"/>
              </w:rPr>
              <w:t>2.1.3</w:t>
            </w:r>
          </w:p>
        </w:tc>
        <w:tc>
          <w:tcPr>
            <w:tcW w:w="1182" w:type="dxa"/>
            <w:gridSpan w:val="2"/>
            <w:vMerge w:val="restart"/>
            <w:vAlign w:val="center"/>
          </w:tcPr>
          <w:p w14:paraId="2BD72C1F">
            <w:pPr>
              <w:spacing w:line="300" w:lineRule="exact"/>
              <w:jc w:val="center"/>
              <w:rPr>
                <w:rFonts w:hint="eastAsia" w:ascii="宋体" w:hAnsi="宋体"/>
                <w:szCs w:val="21"/>
              </w:rPr>
            </w:pPr>
            <w:r>
              <w:rPr>
                <w:rFonts w:hint="eastAsia" w:ascii="宋体" w:hAnsi="宋体"/>
                <w:szCs w:val="21"/>
              </w:rPr>
              <w:t>响应性评审标准</w:t>
            </w:r>
          </w:p>
        </w:tc>
        <w:tc>
          <w:tcPr>
            <w:tcW w:w="2786" w:type="dxa"/>
            <w:gridSpan w:val="3"/>
            <w:vAlign w:val="center"/>
          </w:tcPr>
          <w:p w14:paraId="43A5E063">
            <w:pPr>
              <w:spacing w:line="400" w:lineRule="exact"/>
              <w:jc w:val="center"/>
              <w:rPr>
                <w:rFonts w:hint="eastAsia" w:ascii="宋体" w:hAnsi="宋体"/>
                <w:szCs w:val="21"/>
              </w:rPr>
            </w:pPr>
            <w:r>
              <w:rPr>
                <w:rFonts w:hint="eastAsia" w:ascii="宋体" w:hAnsi="宋体" w:cs="宋体"/>
                <w:szCs w:val="21"/>
              </w:rPr>
              <w:t>投标内容</w:t>
            </w:r>
          </w:p>
        </w:tc>
        <w:tc>
          <w:tcPr>
            <w:tcW w:w="4913" w:type="dxa"/>
            <w:vAlign w:val="center"/>
          </w:tcPr>
          <w:p w14:paraId="132114F0">
            <w:pPr>
              <w:spacing w:line="400" w:lineRule="exact"/>
              <w:jc w:val="left"/>
              <w:rPr>
                <w:rFonts w:hint="eastAsia" w:ascii="宋体" w:hAnsi="宋体"/>
                <w:szCs w:val="21"/>
              </w:rPr>
            </w:pPr>
            <w:r>
              <w:rPr>
                <w:rFonts w:hint="eastAsia" w:ascii="宋体" w:hAnsi="宋体" w:cs="宋体"/>
                <w:szCs w:val="21"/>
              </w:rPr>
              <w:t>符合第二章“</w:t>
            </w:r>
            <w:r>
              <w:rPr>
                <w:rFonts w:hint="eastAsia" w:ascii="宋体" w:hAnsi="宋体"/>
                <w:szCs w:val="21"/>
              </w:rPr>
              <w:t>投标人须知前附表</w:t>
            </w:r>
            <w:r>
              <w:rPr>
                <w:rFonts w:hint="eastAsia" w:ascii="宋体" w:hAnsi="宋体" w:cs="宋体"/>
                <w:szCs w:val="21"/>
              </w:rPr>
              <w:t>”第</w:t>
            </w:r>
            <w:r>
              <w:rPr>
                <w:rFonts w:ascii="宋体" w:hAnsi="宋体" w:cs="宋体"/>
                <w:szCs w:val="21"/>
              </w:rPr>
              <w:t>8</w:t>
            </w:r>
            <w:r>
              <w:rPr>
                <w:rFonts w:hint="eastAsia" w:ascii="宋体" w:hAnsi="宋体" w:cs="宋体"/>
                <w:szCs w:val="21"/>
              </w:rPr>
              <w:t>项规定</w:t>
            </w:r>
          </w:p>
        </w:tc>
      </w:tr>
      <w:tr w14:paraId="332D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01CB0B00">
            <w:pPr>
              <w:spacing w:line="300" w:lineRule="exact"/>
              <w:jc w:val="center"/>
              <w:rPr>
                <w:rFonts w:hint="eastAsia" w:ascii="宋体" w:hAnsi="宋体"/>
                <w:szCs w:val="21"/>
              </w:rPr>
            </w:pPr>
          </w:p>
        </w:tc>
        <w:tc>
          <w:tcPr>
            <w:tcW w:w="1182" w:type="dxa"/>
            <w:gridSpan w:val="2"/>
            <w:vMerge w:val="continue"/>
            <w:vAlign w:val="center"/>
          </w:tcPr>
          <w:p w14:paraId="6628E063">
            <w:pPr>
              <w:spacing w:line="300" w:lineRule="exact"/>
              <w:jc w:val="center"/>
              <w:rPr>
                <w:rFonts w:hint="eastAsia" w:ascii="宋体" w:hAnsi="宋体"/>
                <w:szCs w:val="21"/>
              </w:rPr>
            </w:pPr>
          </w:p>
        </w:tc>
        <w:tc>
          <w:tcPr>
            <w:tcW w:w="2786" w:type="dxa"/>
            <w:gridSpan w:val="3"/>
            <w:vAlign w:val="center"/>
          </w:tcPr>
          <w:p w14:paraId="69AAEF5C">
            <w:pPr>
              <w:spacing w:line="300" w:lineRule="exact"/>
              <w:jc w:val="center"/>
              <w:rPr>
                <w:rFonts w:hint="eastAsia" w:ascii="宋体" w:hAnsi="宋体"/>
                <w:szCs w:val="21"/>
              </w:rPr>
            </w:pPr>
            <w:r>
              <w:rPr>
                <w:rFonts w:hint="eastAsia" w:ascii="宋体" w:hAnsi="宋体"/>
                <w:szCs w:val="21"/>
              </w:rPr>
              <w:t>建设周期</w:t>
            </w:r>
          </w:p>
        </w:tc>
        <w:tc>
          <w:tcPr>
            <w:tcW w:w="4913" w:type="dxa"/>
            <w:vAlign w:val="center"/>
          </w:tcPr>
          <w:p w14:paraId="54A972F6">
            <w:pPr>
              <w:spacing w:line="300" w:lineRule="exact"/>
              <w:rPr>
                <w:rFonts w:hint="eastAsia" w:ascii="宋体" w:hAnsi="宋体"/>
                <w:szCs w:val="21"/>
              </w:rPr>
            </w:pPr>
            <w:r>
              <w:rPr>
                <w:rFonts w:hint="eastAsia" w:ascii="宋体" w:hAnsi="宋体"/>
                <w:szCs w:val="21"/>
              </w:rPr>
              <w:t>符合或优于第二章“投标人须知前附表”第</w:t>
            </w:r>
            <w:r>
              <w:rPr>
                <w:rFonts w:ascii="宋体" w:hAnsi="宋体"/>
                <w:szCs w:val="21"/>
              </w:rPr>
              <w:t>9</w:t>
            </w:r>
            <w:r>
              <w:rPr>
                <w:rFonts w:hint="eastAsia" w:ascii="宋体" w:hAnsi="宋体"/>
                <w:szCs w:val="21"/>
              </w:rPr>
              <w:t>项规定</w:t>
            </w:r>
          </w:p>
        </w:tc>
      </w:tr>
      <w:tr w14:paraId="53AC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0CB5424E">
            <w:pPr>
              <w:spacing w:line="300" w:lineRule="exact"/>
              <w:jc w:val="center"/>
              <w:rPr>
                <w:rFonts w:hint="eastAsia" w:ascii="宋体" w:hAnsi="宋体"/>
                <w:szCs w:val="21"/>
              </w:rPr>
            </w:pPr>
          </w:p>
        </w:tc>
        <w:tc>
          <w:tcPr>
            <w:tcW w:w="1182" w:type="dxa"/>
            <w:gridSpan w:val="2"/>
            <w:vMerge w:val="continue"/>
            <w:vAlign w:val="center"/>
          </w:tcPr>
          <w:p w14:paraId="19CFFAD1">
            <w:pPr>
              <w:spacing w:line="300" w:lineRule="exact"/>
              <w:jc w:val="center"/>
              <w:rPr>
                <w:rFonts w:hint="eastAsia" w:ascii="宋体" w:hAnsi="宋体"/>
                <w:szCs w:val="21"/>
              </w:rPr>
            </w:pPr>
          </w:p>
        </w:tc>
        <w:tc>
          <w:tcPr>
            <w:tcW w:w="2786" w:type="dxa"/>
            <w:gridSpan w:val="3"/>
            <w:vAlign w:val="center"/>
          </w:tcPr>
          <w:p w14:paraId="6CD0D91F">
            <w:pPr>
              <w:spacing w:line="300" w:lineRule="exact"/>
              <w:jc w:val="center"/>
              <w:rPr>
                <w:rFonts w:hint="eastAsia" w:ascii="宋体" w:hAnsi="宋体"/>
                <w:szCs w:val="21"/>
              </w:rPr>
            </w:pPr>
            <w:r>
              <w:rPr>
                <w:rFonts w:hint="eastAsia" w:ascii="宋体" w:hAnsi="宋体"/>
                <w:szCs w:val="21"/>
              </w:rPr>
              <w:t>投标有效期</w:t>
            </w:r>
          </w:p>
        </w:tc>
        <w:tc>
          <w:tcPr>
            <w:tcW w:w="4913" w:type="dxa"/>
            <w:vAlign w:val="center"/>
          </w:tcPr>
          <w:p w14:paraId="1654BBC9">
            <w:pPr>
              <w:spacing w:line="300" w:lineRule="exact"/>
              <w:rPr>
                <w:rFonts w:hint="eastAsia" w:ascii="宋体" w:hAnsi="宋体"/>
                <w:szCs w:val="21"/>
              </w:rPr>
            </w:pPr>
            <w:r>
              <w:rPr>
                <w:rFonts w:hint="eastAsia" w:ascii="宋体" w:hAnsi="宋体"/>
                <w:szCs w:val="21"/>
              </w:rPr>
              <w:t>符合或优于第二章“投标人须知前附表”第</w:t>
            </w:r>
            <w:r>
              <w:rPr>
                <w:rFonts w:ascii="宋体" w:hAnsi="宋体"/>
                <w:szCs w:val="21"/>
              </w:rPr>
              <w:t>15</w:t>
            </w:r>
            <w:r>
              <w:rPr>
                <w:rFonts w:hint="eastAsia" w:ascii="宋体" w:hAnsi="宋体"/>
                <w:szCs w:val="21"/>
              </w:rPr>
              <w:t>项规定</w:t>
            </w:r>
          </w:p>
        </w:tc>
      </w:tr>
      <w:tr w14:paraId="1449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25" w:type="dxa"/>
            <w:gridSpan w:val="2"/>
            <w:vMerge w:val="continue"/>
            <w:vAlign w:val="center"/>
          </w:tcPr>
          <w:p w14:paraId="16CC3BD1">
            <w:pPr>
              <w:spacing w:line="300" w:lineRule="exact"/>
              <w:jc w:val="center"/>
              <w:rPr>
                <w:rFonts w:hint="eastAsia" w:ascii="宋体" w:hAnsi="宋体"/>
                <w:szCs w:val="21"/>
              </w:rPr>
            </w:pPr>
          </w:p>
        </w:tc>
        <w:tc>
          <w:tcPr>
            <w:tcW w:w="1182" w:type="dxa"/>
            <w:gridSpan w:val="2"/>
            <w:vMerge w:val="continue"/>
            <w:vAlign w:val="center"/>
          </w:tcPr>
          <w:p w14:paraId="52A4712F">
            <w:pPr>
              <w:spacing w:line="300" w:lineRule="exact"/>
              <w:jc w:val="center"/>
              <w:rPr>
                <w:rFonts w:hint="eastAsia" w:ascii="宋体" w:hAnsi="宋体"/>
                <w:szCs w:val="21"/>
              </w:rPr>
            </w:pPr>
          </w:p>
        </w:tc>
        <w:tc>
          <w:tcPr>
            <w:tcW w:w="2786" w:type="dxa"/>
            <w:gridSpan w:val="3"/>
            <w:vAlign w:val="center"/>
          </w:tcPr>
          <w:p w14:paraId="4BE8ECC9">
            <w:pPr>
              <w:spacing w:line="300" w:lineRule="exact"/>
              <w:jc w:val="center"/>
              <w:rPr>
                <w:rFonts w:hint="eastAsia" w:ascii="宋体" w:hAnsi="宋体"/>
                <w:szCs w:val="21"/>
              </w:rPr>
            </w:pPr>
            <w:r>
              <w:rPr>
                <w:rFonts w:hint="eastAsia" w:ascii="宋体" w:hAnsi="宋体"/>
                <w:szCs w:val="21"/>
              </w:rPr>
              <w:t>服务质量</w:t>
            </w:r>
          </w:p>
        </w:tc>
        <w:tc>
          <w:tcPr>
            <w:tcW w:w="4913" w:type="dxa"/>
            <w:vAlign w:val="center"/>
          </w:tcPr>
          <w:p w14:paraId="71ED414B">
            <w:pPr>
              <w:spacing w:line="300" w:lineRule="exact"/>
              <w:rPr>
                <w:rFonts w:hint="eastAsia" w:ascii="宋体" w:hAnsi="宋体"/>
                <w:szCs w:val="21"/>
              </w:rPr>
            </w:pPr>
            <w:r>
              <w:rPr>
                <w:rFonts w:hint="eastAsia" w:ascii="宋体" w:hAnsi="宋体"/>
                <w:szCs w:val="21"/>
              </w:rPr>
              <w:t>符合第二章“投标人须知前附表”第</w:t>
            </w:r>
            <w:r>
              <w:rPr>
                <w:rFonts w:ascii="宋体" w:hAnsi="宋体"/>
                <w:szCs w:val="21"/>
              </w:rPr>
              <w:t>10</w:t>
            </w:r>
            <w:r>
              <w:rPr>
                <w:rFonts w:hint="eastAsia" w:ascii="宋体" w:hAnsi="宋体"/>
                <w:szCs w:val="21"/>
              </w:rPr>
              <w:t>项规定</w:t>
            </w:r>
          </w:p>
        </w:tc>
      </w:tr>
      <w:tr w14:paraId="6CE0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025" w:type="dxa"/>
            <w:gridSpan w:val="2"/>
            <w:vMerge w:val="continue"/>
            <w:vAlign w:val="center"/>
          </w:tcPr>
          <w:p w14:paraId="73E3FA61">
            <w:pPr>
              <w:spacing w:line="300" w:lineRule="exact"/>
              <w:jc w:val="center"/>
              <w:rPr>
                <w:rFonts w:hint="eastAsia" w:ascii="宋体" w:hAnsi="宋体"/>
                <w:szCs w:val="21"/>
              </w:rPr>
            </w:pPr>
          </w:p>
        </w:tc>
        <w:tc>
          <w:tcPr>
            <w:tcW w:w="1182" w:type="dxa"/>
            <w:gridSpan w:val="2"/>
            <w:vMerge w:val="continue"/>
            <w:vAlign w:val="center"/>
          </w:tcPr>
          <w:p w14:paraId="6DDDE4BF">
            <w:pPr>
              <w:spacing w:line="300" w:lineRule="exact"/>
              <w:jc w:val="center"/>
              <w:rPr>
                <w:rFonts w:hint="eastAsia" w:ascii="宋体" w:hAnsi="宋体"/>
                <w:szCs w:val="21"/>
              </w:rPr>
            </w:pPr>
          </w:p>
        </w:tc>
        <w:tc>
          <w:tcPr>
            <w:tcW w:w="2786" w:type="dxa"/>
            <w:gridSpan w:val="3"/>
            <w:vAlign w:val="center"/>
          </w:tcPr>
          <w:p w14:paraId="71CF64BC">
            <w:pPr>
              <w:spacing w:line="300" w:lineRule="exact"/>
              <w:jc w:val="center"/>
              <w:rPr>
                <w:rFonts w:hint="eastAsia" w:ascii="宋体" w:hAnsi="宋体"/>
                <w:szCs w:val="21"/>
              </w:rPr>
            </w:pPr>
            <w:r>
              <w:rPr>
                <w:rFonts w:hint="eastAsia" w:ascii="宋体" w:hAnsi="宋体"/>
                <w:szCs w:val="21"/>
              </w:rPr>
              <w:t>运维服务期</w:t>
            </w:r>
          </w:p>
        </w:tc>
        <w:tc>
          <w:tcPr>
            <w:tcW w:w="4913" w:type="dxa"/>
            <w:vAlign w:val="center"/>
          </w:tcPr>
          <w:p w14:paraId="596365F7">
            <w:pPr>
              <w:spacing w:line="300" w:lineRule="exact"/>
              <w:rPr>
                <w:rFonts w:hint="eastAsia" w:ascii="宋体" w:hAnsi="宋体"/>
                <w:szCs w:val="21"/>
              </w:rPr>
            </w:pPr>
            <w:r>
              <w:rPr>
                <w:rFonts w:hint="eastAsia" w:ascii="宋体" w:hAnsi="宋体"/>
                <w:szCs w:val="21"/>
              </w:rPr>
              <w:t>符合第二章“投标人须知前附表”第</w:t>
            </w:r>
            <w:r>
              <w:rPr>
                <w:rFonts w:ascii="宋体" w:hAnsi="宋体"/>
                <w:szCs w:val="21"/>
              </w:rPr>
              <w:t>11</w:t>
            </w:r>
            <w:r>
              <w:rPr>
                <w:rFonts w:hint="eastAsia" w:ascii="宋体" w:hAnsi="宋体"/>
                <w:szCs w:val="21"/>
              </w:rPr>
              <w:t>项规定</w:t>
            </w:r>
          </w:p>
        </w:tc>
      </w:tr>
      <w:tr w14:paraId="7CE3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207" w:type="dxa"/>
            <w:gridSpan w:val="4"/>
            <w:vAlign w:val="center"/>
          </w:tcPr>
          <w:p w14:paraId="7B029423">
            <w:pPr>
              <w:spacing w:line="300" w:lineRule="exact"/>
              <w:jc w:val="center"/>
              <w:rPr>
                <w:rFonts w:hint="eastAsia" w:ascii="宋体" w:hAnsi="宋体"/>
                <w:b/>
                <w:szCs w:val="21"/>
              </w:rPr>
            </w:pPr>
            <w:r>
              <w:rPr>
                <w:rFonts w:hint="eastAsia" w:ascii="宋体" w:hAnsi="宋体"/>
                <w:b/>
                <w:szCs w:val="21"/>
              </w:rPr>
              <w:t>条款号</w:t>
            </w:r>
          </w:p>
        </w:tc>
        <w:tc>
          <w:tcPr>
            <w:tcW w:w="2786" w:type="dxa"/>
            <w:gridSpan w:val="3"/>
            <w:vAlign w:val="center"/>
          </w:tcPr>
          <w:p w14:paraId="66538A74">
            <w:pPr>
              <w:spacing w:line="300" w:lineRule="exact"/>
              <w:jc w:val="center"/>
              <w:rPr>
                <w:rFonts w:hint="eastAsia" w:ascii="宋体" w:hAnsi="宋体"/>
                <w:b/>
                <w:szCs w:val="21"/>
              </w:rPr>
            </w:pPr>
            <w:r>
              <w:rPr>
                <w:rFonts w:hint="eastAsia" w:ascii="宋体" w:hAnsi="宋体"/>
                <w:b/>
                <w:szCs w:val="21"/>
              </w:rPr>
              <w:t>条款内容</w:t>
            </w:r>
          </w:p>
        </w:tc>
        <w:tc>
          <w:tcPr>
            <w:tcW w:w="4913" w:type="dxa"/>
            <w:vAlign w:val="center"/>
          </w:tcPr>
          <w:p w14:paraId="334CF5AB">
            <w:pPr>
              <w:spacing w:line="300" w:lineRule="exact"/>
              <w:jc w:val="center"/>
              <w:rPr>
                <w:rFonts w:hint="eastAsia" w:ascii="宋体" w:hAnsi="宋体"/>
                <w:b/>
                <w:szCs w:val="21"/>
              </w:rPr>
            </w:pPr>
            <w:r>
              <w:rPr>
                <w:rFonts w:hint="eastAsia" w:ascii="宋体" w:hAnsi="宋体"/>
                <w:b/>
                <w:szCs w:val="21"/>
              </w:rPr>
              <w:t>编列内容</w:t>
            </w:r>
          </w:p>
        </w:tc>
      </w:tr>
      <w:tr w14:paraId="01D8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207" w:type="dxa"/>
            <w:gridSpan w:val="4"/>
            <w:vAlign w:val="center"/>
          </w:tcPr>
          <w:p w14:paraId="2FC432B4">
            <w:pPr>
              <w:spacing w:line="300" w:lineRule="exact"/>
              <w:jc w:val="center"/>
              <w:rPr>
                <w:rFonts w:hint="eastAsia" w:ascii="宋体" w:hAnsi="宋体"/>
                <w:b/>
                <w:szCs w:val="21"/>
              </w:rPr>
            </w:pPr>
            <w:r>
              <w:rPr>
                <w:rFonts w:hint="eastAsia" w:ascii="宋体" w:hAnsi="宋体"/>
                <w:b/>
                <w:szCs w:val="21"/>
              </w:rPr>
              <w:t>条款号</w:t>
            </w:r>
          </w:p>
        </w:tc>
        <w:tc>
          <w:tcPr>
            <w:tcW w:w="2786" w:type="dxa"/>
            <w:gridSpan w:val="3"/>
            <w:vAlign w:val="center"/>
          </w:tcPr>
          <w:p w14:paraId="4D215297">
            <w:pPr>
              <w:spacing w:line="300" w:lineRule="exact"/>
              <w:jc w:val="center"/>
              <w:rPr>
                <w:rFonts w:hint="eastAsia" w:ascii="宋体" w:hAnsi="宋体"/>
                <w:b/>
                <w:szCs w:val="21"/>
              </w:rPr>
            </w:pPr>
            <w:r>
              <w:rPr>
                <w:rFonts w:hint="eastAsia" w:ascii="宋体" w:hAnsi="宋体"/>
                <w:b/>
                <w:szCs w:val="21"/>
              </w:rPr>
              <w:t>评分因素</w:t>
            </w:r>
          </w:p>
        </w:tc>
        <w:tc>
          <w:tcPr>
            <w:tcW w:w="4913" w:type="dxa"/>
            <w:vAlign w:val="center"/>
          </w:tcPr>
          <w:p w14:paraId="6343ABBA">
            <w:pPr>
              <w:spacing w:line="300" w:lineRule="exact"/>
              <w:jc w:val="center"/>
              <w:rPr>
                <w:rFonts w:hint="eastAsia" w:ascii="宋体" w:hAnsi="宋体"/>
                <w:b/>
                <w:szCs w:val="21"/>
              </w:rPr>
            </w:pPr>
            <w:r>
              <w:rPr>
                <w:rFonts w:hint="eastAsia" w:ascii="宋体" w:hAnsi="宋体"/>
                <w:b/>
                <w:szCs w:val="21"/>
              </w:rPr>
              <w:t>评分标准</w:t>
            </w:r>
          </w:p>
        </w:tc>
      </w:tr>
      <w:tr w14:paraId="027B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43" w:type="dxa"/>
            <w:vAlign w:val="center"/>
          </w:tcPr>
          <w:p w14:paraId="3D467719">
            <w:pPr>
              <w:spacing w:line="300" w:lineRule="exact"/>
              <w:jc w:val="center"/>
              <w:rPr>
                <w:rFonts w:hint="eastAsia" w:ascii="宋体" w:hAnsi="宋体" w:cs="宋体"/>
                <w:b/>
                <w:sz w:val="24"/>
              </w:rPr>
            </w:pPr>
            <w:r>
              <w:rPr>
                <w:rFonts w:hint="eastAsia" w:ascii="宋体" w:hAnsi="宋体"/>
                <w:szCs w:val="21"/>
              </w:rPr>
              <w:t>分值构成</w:t>
            </w:r>
          </w:p>
        </w:tc>
        <w:tc>
          <w:tcPr>
            <w:tcW w:w="1091" w:type="dxa"/>
            <w:gridSpan w:val="2"/>
            <w:vAlign w:val="center"/>
          </w:tcPr>
          <w:p w14:paraId="4BED7190">
            <w:pPr>
              <w:spacing w:line="360" w:lineRule="auto"/>
              <w:jc w:val="center"/>
              <w:rPr>
                <w:rFonts w:hint="eastAsia" w:ascii="宋体" w:hAnsi="宋体" w:cs="宋体"/>
                <w:b/>
                <w:bCs/>
                <w:sz w:val="24"/>
              </w:rPr>
            </w:pPr>
            <w:r>
              <w:rPr>
                <w:rFonts w:hint="eastAsia" w:ascii="宋体" w:hAnsi="宋体" w:cs="宋体"/>
                <w:b/>
                <w:bCs/>
                <w:sz w:val="24"/>
              </w:rPr>
              <w:t>100</w:t>
            </w:r>
          </w:p>
        </w:tc>
        <w:tc>
          <w:tcPr>
            <w:tcW w:w="7972" w:type="dxa"/>
            <w:gridSpan w:val="5"/>
            <w:vAlign w:val="center"/>
          </w:tcPr>
          <w:p w14:paraId="4CFF8A8C">
            <w:pPr>
              <w:spacing w:line="276" w:lineRule="auto"/>
              <w:rPr>
                <w:rFonts w:hint="eastAsia" w:ascii="宋体" w:hAnsi="宋体"/>
                <w:sz w:val="22"/>
              </w:rPr>
            </w:pPr>
            <w:r>
              <w:rPr>
                <w:rFonts w:hint="eastAsia" w:ascii="宋体" w:hAnsi="宋体"/>
                <w:sz w:val="22"/>
              </w:rPr>
              <w:t>商务部分：10分</w:t>
            </w:r>
          </w:p>
          <w:p w14:paraId="054E0675">
            <w:pPr>
              <w:spacing w:line="276" w:lineRule="auto"/>
              <w:rPr>
                <w:rFonts w:hint="eastAsia" w:ascii="宋体" w:hAnsi="宋体"/>
                <w:sz w:val="22"/>
              </w:rPr>
            </w:pPr>
            <w:r>
              <w:rPr>
                <w:rFonts w:hint="eastAsia" w:ascii="宋体" w:hAnsi="宋体"/>
                <w:sz w:val="22"/>
              </w:rPr>
              <w:t>技术部分：70分</w:t>
            </w:r>
          </w:p>
          <w:p w14:paraId="3303AEAE">
            <w:pPr>
              <w:pStyle w:val="19"/>
              <w:ind w:firstLine="0" w:firstLineChars="0"/>
            </w:pPr>
            <w:r>
              <w:rPr>
                <w:rFonts w:hint="eastAsia" w:ascii="宋体" w:hAnsi="宋体"/>
                <w:sz w:val="22"/>
              </w:rPr>
              <w:t>综合部分：20分</w:t>
            </w:r>
          </w:p>
        </w:tc>
      </w:tr>
      <w:tr w14:paraId="2CA7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906" w:type="dxa"/>
            <w:gridSpan w:val="8"/>
            <w:vAlign w:val="center"/>
          </w:tcPr>
          <w:p w14:paraId="372AB5B1">
            <w:pPr>
              <w:spacing w:line="360" w:lineRule="auto"/>
              <w:jc w:val="center"/>
              <w:rPr>
                <w:rFonts w:hint="eastAsia" w:ascii="宋体" w:hAnsi="宋体"/>
                <w:sz w:val="22"/>
              </w:rPr>
            </w:pPr>
            <w:r>
              <w:rPr>
                <w:rFonts w:hint="eastAsia" w:ascii="宋体" w:hAnsi="宋体"/>
                <w:b/>
                <w:bCs/>
                <w:sz w:val="22"/>
              </w:rPr>
              <w:t>商务部分（10分）</w:t>
            </w:r>
          </w:p>
        </w:tc>
      </w:tr>
      <w:tr w14:paraId="122B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843" w:type="dxa"/>
            <w:vAlign w:val="center"/>
          </w:tcPr>
          <w:p w14:paraId="59248670">
            <w:pPr>
              <w:spacing w:line="276" w:lineRule="auto"/>
              <w:jc w:val="center"/>
              <w:rPr>
                <w:rFonts w:hint="eastAsia" w:ascii="宋体" w:hAnsi="宋体" w:cs="宋体"/>
                <w:b/>
                <w:sz w:val="24"/>
              </w:rPr>
            </w:pPr>
            <w:r>
              <w:rPr>
                <w:rFonts w:hint="eastAsia" w:ascii="宋体" w:hAnsi="宋体" w:cs="宋体"/>
                <w:b/>
                <w:sz w:val="24"/>
              </w:rPr>
              <w:t>价格</w:t>
            </w:r>
          </w:p>
          <w:p w14:paraId="764E71B0">
            <w:pPr>
              <w:spacing w:line="276" w:lineRule="auto"/>
              <w:jc w:val="center"/>
              <w:rPr>
                <w:rFonts w:hint="eastAsia" w:ascii="宋体" w:hAnsi="宋体" w:cs="宋体"/>
                <w:b/>
                <w:bCs/>
                <w:sz w:val="24"/>
              </w:rPr>
            </w:pPr>
            <w:r>
              <w:rPr>
                <w:rFonts w:hint="eastAsia" w:ascii="宋体" w:hAnsi="宋体" w:cs="宋体"/>
                <w:b/>
                <w:sz w:val="24"/>
              </w:rPr>
              <w:t>评审</w:t>
            </w:r>
          </w:p>
        </w:tc>
        <w:tc>
          <w:tcPr>
            <w:tcW w:w="1091" w:type="dxa"/>
            <w:gridSpan w:val="2"/>
            <w:vAlign w:val="center"/>
          </w:tcPr>
          <w:p w14:paraId="00E869E0">
            <w:pPr>
              <w:spacing w:line="360" w:lineRule="auto"/>
              <w:jc w:val="center"/>
              <w:rPr>
                <w:rFonts w:hint="eastAsia" w:ascii="宋体" w:hAnsi="宋体" w:cs="宋体"/>
                <w:b/>
                <w:bCs/>
                <w:sz w:val="24"/>
              </w:rPr>
            </w:pPr>
            <w:r>
              <w:rPr>
                <w:rFonts w:hint="eastAsia" w:ascii="宋体" w:hAnsi="宋体" w:cs="宋体"/>
                <w:b/>
                <w:bCs/>
                <w:sz w:val="24"/>
              </w:rPr>
              <w:t>10分</w:t>
            </w:r>
          </w:p>
        </w:tc>
        <w:tc>
          <w:tcPr>
            <w:tcW w:w="7972" w:type="dxa"/>
            <w:gridSpan w:val="5"/>
            <w:vAlign w:val="center"/>
          </w:tcPr>
          <w:p w14:paraId="204B4F88">
            <w:pPr>
              <w:widowControl/>
              <w:spacing w:line="276" w:lineRule="auto"/>
              <w:jc w:val="left"/>
              <w:rPr>
                <w:rFonts w:ascii="Calibri" w:hAnsi="Calibri"/>
                <w:szCs w:val="22"/>
              </w:rPr>
            </w:pPr>
            <w:r>
              <w:rPr>
                <w:rFonts w:hint="eastAsia" w:ascii="Calibri" w:hAnsi="Calibri"/>
                <w:szCs w:val="22"/>
              </w:rPr>
              <w:t>综合评分法中的价格分统一采用低价优先法计算，即满足文件要求且报价最低的投标人的价格为基准价，其价格分为满分。其他投标人的价格分统一按照下列公式计算：</w:t>
            </w:r>
          </w:p>
          <w:p w14:paraId="78DEE372">
            <w:pPr>
              <w:spacing w:line="276" w:lineRule="auto"/>
              <w:ind w:right="-2"/>
              <w:jc w:val="left"/>
              <w:rPr>
                <w:rFonts w:hint="eastAsia" w:ascii="宋体" w:hAnsi="宋体" w:cs="宋体"/>
                <w:b/>
                <w:szCs w:val="21"/>
              </w:rPr>
            </w:pPr>
            <w:r>
              <w:rPr>
                <w:rFonts w:hint="eastAsia" w:ascii="宋体" w:hAnsi="宋体" w:cs="宋体"/>
                <w:b/>
                <w:szCs w:val="21"/>
              </w:rPr>
              <w:t>投标报价得分=(基准价/投标报价)×10%×100</w:t>
            </w:r>
          </w:p>
          <w:p w14:paraId="1F59B6AD">
            <w:pPr>
              <w:widowControl/>
              <w:spacing w:line="276" w:lineRule="auto"/>
              <w:jc w:val="left"/>
              <w:rPr>
                <w:rFonts w:ascii="Calibri" w:hAnsi="Calibri"/>
                <w:szCs w:val="22"/>
              </w:rPr>
            </w:pPr>
            <w:r>
              <w:rPr>
                <w:rFonts w:hint="eastAsia" w:ascii="Calibri" w:hAnsi="Calibri"/>
                <w:szCs w:val="22"/>
              </w:rPr>
              <w:t>注：1、项目评审过程中，不得去掉最后报价中的最高报价和最低报价。</w:t>
            </w:r>
          </w:p>
          <w:p w14:paraId="528619E1">
            <w:pPr>
              <w:widowControl/>
              <w:spacing w:line="276" w:lineRule="auto"/>
              <w:jc w:val="left"/>
              <w:rPr>
                <w:rFonts w:ascii="Calibri" w:hAnsi="Calibri"/>
                <w:szCs w:val="22"/>
              </w:rPr>
            </w:pPr>
            <w:r>
              <w:rPr>
                <w:rFonts w:ascii="Calibri" w:hAnsi="Calibri"/>
                <w:szCs w:val="22"/>
              </w:rPr>
              <w:t>2</w:t>
            </w:r>
            <w:r>
              <w:rPr>
                <w:rFonts w:hint="eastAsia" w:ascii="Calibri" w:hAnsi="Calibri"/>
                <w:szCs w:val="22"/>
              </w:rPr>
              <w:t>、投标人应充分考虑各种因素，投标报价是评标综合打分的依据之一，但不是唯一依据。</w:t>
            </w:r>
          </w:p>
          <w:p w14:paraId="1CCED04B">
            <w:pPr>
              <w:widowControl/>
              <w:jc w:val="left"/>
              <w:rPr>
                <w:rFonts w:ascii="Calibri" w:hAnsi="Calibri"/>
                <w:szCs w:val="22"/>
              </w:rPr>
            </w:pPr>
            <w:r>
              <w:rPr>
                <w:rFonts w:hint="eastAsia" w:ascii="Calibri" w:hAnsi="Calibri"/>
                <w:szCs w:val="22"/>
              </w:rPr>
              <w:t>3、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D3F8534">
            <w:pPr>
              <w:widowControl/>
              <w:jc w:val="left"/>
              <w:rPr>
                <w:rFonts w:hint="eastAsia" w:ascii="宋体" w:hAnsi="宋体" w:cs="宋体"/>
                <w:szCs w:val="21"/>
              </w:rPr>
            </w:pPr>
            <w:r>
              <w:rPr>
                <w:rFonts w:hint="eastAsia" w:ascii="宋体" w:hAnsi="宋体" w:cs="宋体"/>
                <w:b/>
                <w:bCs/>
                <w:szCs w:val="21"/>
              </w:rPr>
              <w:t>价格评审优惠政策</w:t>
            </w:r>
            <w:r>
              <w:rPr>
                <w:rFonts w:hint="eastAsia" w:ascii="宋体" w:hAnsi="宋体" w:cs="宋体"/>
                <w:szCs w:val="21"/>
              </w:rPr>
              <w:t>：</w:t>
            </w:r>
          </w:p>
          <w:p w14:paraId="31FA42D6">
            <w:pPr>
              <w:widowControl/>
              <w:jc w:val="left"/>
              <w:rPr>
                <w:rFonts w:hint="eastAsia" w:ascii="宋体" w:hAnsi="宋体" w:cs="宋体"/>
                <w:szCs w:val="21"/>
              </w:rPr>
            </w:pPr>
            <w:r>
              <w:rPr>
                <w:rFonts w:hint="eastAsia" w:ascii="宋体" w:hAnsi="宋体" w:cs="宋体"/>
                <w:szCs w:val="21"/>
              </w:rPr>
              <w:t>1、根据政府采购相关政策，给予小型、微型企业产品价格10%的扣除，用扣除后的价格参与评审，参与评审的小型（微型）企业产品投标报价=小型（微型）企业报价×（1-10%）。</w:t>
            </w:r>
          </w:p>
          <w:p w14:paraId="17122532">
            <w:pPr>
              <w:widowControl/>
              <w:jc w:val="left"/>
              <w:rPr>
                <w:rFonts w:hint="eastAsia" w:ascii="宋体" w:hAnsi="宋体" w:cs="宋体"/>
                <w:szCs w:val="21"/>
              </w:rPr>
            </w:pPr>
            <w:r>
              <w:rPr>
                <w:rFonts w:hint="eastAsia" w:ascii="宋体" w:hAnsi="宋体" w:cs="宋体"/>
                <w:szCs w:val="21"/>
              </w:rPr>
              <w:t>2、残疾人福利性单位视同小型、微型企业，价格给予10%的扣除，用扣除后的价格参与评审。</w:t>
            </w:r>
          </w:p>
          <w:p w14:paraId="6E2C5726">
            <w:pPr>
              <w:widowControl/>
              <w:jc w:val="left"/>
              <w:rPr>
                <w:rFonts w:hint="eastAsia" w:ascii="宋体" w:hAnsi="宋体" w:cs="宋体"/>
                <w:szCs w:val="21"/>
              </w:rPr>
            </w:pPr>
            <w:r>
              <w:rPr>
                <w:rFonts w:hint="eastAsia" w:ascii="宋体" w:hAnsi="宋体" w:cs="宋体"/>
                <w:szCs w:val="21"/>
              </w:rPr>
              <w:t>3、在政府采购活动中，监狱企业视同小型、微型企业，价格给予10%的扣除，用扣除后的价格参与评审。</w:t>
            </w:r>
          </w:p>
          <w:p w14:paraId="61886FF8">
            <w:pPr>
              <w:widowControl/>
              <w:jc w:val="left"/>
              <w:rPr>
                <w:rFonts w:hint="eastAsia" w:ascii="宋体" w:hAnsi="宋体" w:cs="宋体"/>
                <w:szCs w:val="21"/>
              </w:rPr>
            </w:pPr>
            <w:r>
              <w:rPr>
                <w:rFonts w:hint="eastAsia" w:ascii="宋体" w:hAnsi="宋体" w:cs="宋体"/>
                <w:szCs w:val="21"/>
              </w:rPr>
              <w:t>注：（1）投标人若为小型或微型企业，须自行提供中小企业声明函（见投标文件格式部分），并对其真实性负责；</w:t>
            </w:r>
          </w:p>
          <w:p w14:paraId="5F7A6491">
            <w:pPr>
              <w:widowControl/>
              <w:jc w:val="left"/>
              <w:rPr>
                <w:rFonts w:hint="eastAsia" w:ascii="宋体" w:hAnsi="宋体" w:cs="宋体"/>
                <w:szCs w:val="21"/>
              </w:rPr>
            </w:pPr>
            <w:r>
              <w:rPr>
                <w:rFonts w:hint="eastAsia" w:ascii="宋体" w:hAnsi="宋体" w:cs="宋体"/>
                <w:szCs w:val="21"/>
              </w:rPr>
              <w:t>（2）投标人若为残疾人福利性单位，须按规定提供《残疾人福利性单位声明函》（见投标文件格式部分），并对其真实性负责；</w:t>
            </w:r>
          </w:p>
          <w:p w14:paraId="36F30761">
            <w:pPr>
              <w:widowControl/>
              <w:jc w:val="left"/>
              <w:rPr>
                <w:rFonts w:hint="eastAsia" w:ascii="宋体" w:hAnsi="宋体" w:cs="宋体"/>
                <w:szCs w:val="21"/>
              </w:rPr>
            </w:pPr>
            <w:r>
              <w:rPr>
                <w:rFonts w:hint="eastAsia" w:ascii="宋体" w:hAnsi="宋体" w:cs="宋体"/>
                <w:szCs w:val="21"/>
              </w:rPr>
              <w:t>（3）投标人若为监狱企业参加政府采购活动，应当提供由省级以上监狱管理局、戒毒管理局(含新疆生产建设兵团)出具的属于监狱企业的证明文件。</w:t>
            </w:r>
          </w:p>
          <w:p w14:paraId="13E52D12">
            <w:pPr>
              <w:widowControl/>
              <w:spacing w:line="276" w:lineRule="auto"/>
              <w:jc w:val="left"/>
              <w:rPr>
                <w:rFonts w:hint="eastAsia" w:ascii="宋体" w:hAnsi="宋体" w:cs="宋体"/>
                <w:sz w:val="24"/>
              </w:rPr>
            </w:pPr>
            <w:r>
              <w:rPr>
                <w:rFonts w:hint="eastAsia" w:ascii="宋体" w:hAnsi="宋体" w:cs="宋体"/>
                <w:szCs w:val="21"/>
              </w:rPr>
              <w:t>(4) 投标人为小型、微型企业的，同时又为残疾人福利性单位或监狱企业的，不重复享受政策。</w:t>
            </w:r>
          </w:p>
        </w:tc>
      </w:tr>
      <w:tr w14:paraId="30A5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843" w:type="dxa"/>
            <w:vMerge w:val="restart"/>
            <w:vAlign w:val="center"/>
          </w:tcPr>
          <w:p w14:paraId="2B7F5C02">
            <w:pPr>
              <w:spacing w:line="360" w:lineRule="auto"/>
              <w:jc w:val="center"/>
              <w:rPr>
                <w:rFonts w:hint="eastAsia" w:ascii="宋体" w:hAnsi="宋体" w:cs="宋体"/>
                <w:b/>
                <w:bCs/>
                <w:sz w:val="24"/>
              </w:rPr>
            </w:pPr>
            <w:r>
              <w:rPr>
                <w:rFonts w:hint="eastAsia" w:ascii="宋体" w:hAnsi="宋体" w:cs="宋体"/>
                <w:b/>
                <w:bCs/>
                <w:sz w:val="24"/>
              </w:rPr>
              <w:t>技术</w:t>
            </w:r>
          </w:p>
          <w:p w14:paraId="739559CE">
            <w:pPr>
              <w:spacing w:line="360" w:lineRule="auto"/>
              <w:jc w:val="center"/>
              <w:rPr>
                <w:rFonts w:hint="eastAsia" w:ascii="宋体" w:hAnsi="宋体" w:cs="宋体"/>
                <w:b/>
                <w:bCs/>
                <w:sz w:val="24"/>
              </w:rPr>
            </w:pPr>
            <w:r>
              <w:rPr>
                <w:rFonts w:hint="eastAsia" w:ascii="宋体" w:hAnsi="宋体" w:cs="宋体"/>
                <w:b/>
                <w:bCs/>
                <w:sz w:val="24"/>
              </w:rPr>
              <w:t>部分</w:t>
            </w:r>
          </w:p>
        </w:tc>
        <w:tc>
          <w:tcPr>
            <w:tcW w:w="1091" w:type="dxa"/>
            <w:gridSpan w:val="2"/>
            <w:vMerge w:val="restart"/>
            <w:vAlign w:val="center"/>
          </w:tcPr>
          <w:p w14:paraId="1272CB95">
            <w:pPr>
              <w:spacing w:line="360" w:lineRule="auto"/>
              <w:jc w:val="center"/>
              <w:rPr>
                <w:rFonts w:hint="eastAsia" w:ascii="宋体" w:hAnsi="宋体" w:cs="宋体"/>
                <w:b/>
                <w:bCs/>
                <w:sz w:val="24"/>
              </w:rPr>
            </w:pPr>
            <w:r>
              <w:rPr>
                <w:rFonts w:hint="eastAsia" w:ascii="宋体" w:hAnsi="宋体" w:cs="宋体"/>
                <w:b/>
                <w:bCs/>
                <w:sz w:val="24"/>
              </w:rPr>
              <w:t>70分</w:t>
            </w:r>
          </w:p>
        </w:tc>
        <w:tc>
          <w:tcPr>
            <w:tcW w:w="1230" w:type="dxa"/>
            <w:gridSpan w:val="2"/>
            <w:vAlign w:val="center"/>
          </w:tcPr>
          <w:p w14:paraId="0300080F">
            <w:pPr>
              <w:spacing w:line="360" w:lineRule="auto"/>
              <w:jc w:val="center"/>
              <w:rPr>
                <w:rFonts w:hint="eastAsia" w:ascii="宋体" w:hAnsi="宋体" w:cs="宋体"/>
                <w:spacing w:val="4"/>
                <w:sz w:val="20"/>
                <w:szCs w:val="20"/>
              </w:rPr>
            </w:pPr>
            <w:r>
              <w:rPr>
                <w:rFonts w:hint="eastAsia" w:ascii="宋体" w:hAnsi="宋体" w:cs="宋体"/>
                <w:sz w:val="20"/>
                <w:szCs w:val="20"/>
              </w:rPr>
              <w:t>技术参数（10分）</w:t>
            </w:r>
          </w:p>
        </w:tc>
        <w:tc>
          <w:tcPr>
            <w:tcW w:w="6742" w:type="dxa"/>
            <w:gridSpan w:val="3"/>
            <w:vAlign w:val="center"/>
          </w:tcPr>
          <w:p w14:paraId="7C261671">
            <w:pPr>
              <w:spacing w:line="360" w:lineRule="auto"/>
              <w:jc w:val="left"/>
              <w:rPr>
                <w:rFonts w:hint="eastAsia" w:ascii="宋体" w:hAnsi="宋体" w:cs="宋体"/>
                <w:sz w:val="20"/>
                <w:szCs w:val="20"/>
              </w:rPr>
            </w:pPr>
            <w:r>
              <w:rPr>
                <w:rFonts w:hint="eastAsia" w:ascii="宋体" w:hAnsi="宋体" w:cs="宋体"/>
                <w:sz w:val="20"/>
                <w:szCs w:val="20"/>
              </w:rPr>
              <w:t>评审专家根据招标文件采购需求中技术参数要求及投标文件中《技术参数偏离情况表》响应的条款进行打分评审，所有条款均符合招标文件参数与要求，得基本分10分；如果投标文件中参数部分存在负偏离的，每条负偏差扣除</w:t>
            </w:r>
            <w:r>
              <w:rPr>
                <w:rFonts w:hint="eastAsia" w:ascii="宋体" w:hAnsi="宋体" w:cs="宋体"/>
                <w:sz w:val="20"/>
                <w:szCs w:val="20"/>
                <w:lang w:val="en-US" w:eastAsia="zh-CN"/>
              </w:rPr>
              <w:t>1</w:t>
            </w:r>
            <w:r>
              <w:rPr>
                <w:rFonts w:hint="eastAsia" w:ascii="宋体" w:hAnsi="宋体" w:cs="宋体"/>
                <w:sz w:val="20"/>
                <w:szCs w:val="20"/>
              </w:rPr>
              <w:t>分，10分扣完为止。</w:t>
            </w:r>
          </w:p>
          <w:p w14:paraId="079ED855">
            <w:pPr>
              <w:spacing w:line="360" w:lineRule="auto"/>
              <w:jc w:val="left"/>
              <w:rPr>
                <w:rFonts w:hint="eastAsia" w:ascii="宋体" w:hAnsi="宋体" w:cs="宋体"/>
                <w:sz w:val="20"/>
                <w:szCs w:val="20"/>
              </w:rPr>
            </w:pPr>
            <w:r>
              <w:rPr>
                <w:rFonts w:hint="eastAsia" w:ascii="宋体" w:hAnsi="宋体" w:cs="宋体"/>
                <w:sz w:val="20"/>
                <w:szCs w:val="20"/>
              </w:rPr>
              <w:t>缺项不得分。</w:t>
            </w:r>
          </w:p>
        </w:tc>
      </w:tr>
      <w:tr w14:paraId="0FAC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3" w:type="dxa"/>
            <w:vMerge w:val="continue"/>
            <w:vAlign w:val="center"/>
          </w:tcPr>
          <w:p w14:paraId="10651F75">
            <w:pPr>
              <w:spacing w:line="360" w:lineRule="auto"/>
              <w:jc w:val="center"/>
              <w:rPr>
                <w:rFonts w:hint="eastAsia" w:ascii="宋体" w:hAnsi="宋体" w:cs="宋体"/>
                <w:b/>
                <w:sz w:val="24"/>
              </w:rPr>
            </w:pPr>
          </w:p>
        </w:tc>
        <w:tc>
          <w:tcPr>
            <w:tcW w:w="1091" w:type="dxa"/>
            <w:gridSpan w:val="2"/>
            <w:vMerge w:val="continue"/>
            <w:vAlign w:val="center"/>
          </w:tcPr>
          <w:p w14:paraId="653908AA">
            <w:pPr>
              <w:spacing w:line="360" w:lineRule="auto"/>
              <w:jc w:val="center"/>
              <w:rPr>
                <w:rFonts w:hint="eastAsia" w:ascii="宋体" w:hAnsi="宋体" w:cs="宋体"/>
                <w:b/>
                <w:sz w:val="24"/>
              </w:rPr>
            </w:pPr>
          </w:p>
        </w:tc>
        <w:tc>
          <w:tcPr>
            <w:tcW w:w="1230" w:type="dxa"/>
            <w:gridSpan w:val="2"/>
            <w:vAlign w:val="center"/>
          </w:tcPr>
          <w:p w14:paraId="004B771A">
            <w:pPr>
              <w:spacing w:line="360" w:lineRule="auto"/>
              <w:jc w:val="center"/>
              <w:rPr>
                <w:rFonts w:hint="eastAsia" w:ascii="宋体" w:hAnsi="宋体" w:cs="宋体"/>
                <w:sz w:val="20"/>
                <w:szCs w:val="20"/>
              </w:rPr>
            </w:pPr>
            <w:r>
              <w:rPr>
                <w:rFonts w:hint="eastAsia" w:ascii="宋体" w:hAnsi="宋体" w:cs="宋体"/>
                <w:sz w:val="20"/>
                <w:szCs w:val="20"/>
              </w:rPr>
              <w:t>项目技术</w:t>
            </w:r>
          </w:p>
          <w:p w14:paraId="5EF0A112">
            <w:pPr>
              <w:spacing w:line="360" w:lineRule="auto"/>
              <w:jc w:val="center"/>
              <w:rPr>
                <w:rFonts w:hint="eastAsia" w:ascii="宋体" w:hAnsi="宋体" w:cs="宋体"/>
                <w:sz w:val="20"/>
                <w:szCs w:val="20"/>
              </w:rPr>
            </w:pPr>
            <w:r>
              <w:rPr>
                <w:rFonts w:hint="eastAsia" w:ascii="宋体" w:hAnsi="宋体" w:cs="宋体"/>
                <w:sz w:val="20"/>
                <w:szCs w:val="20"/>
              </w:rPr>
              <w:t>服务方案</w:t>
            </w:r>
          </w:p>
          <w:p w14:paraId="630736AF">
            <w:pPr>
              <w:spacing w:line="360" w:lineRule="auto"/>
              <w:jc w:val="center"/>
              <w:rPr>
                <w:rFonts w:hint="eastAsia" w:ascii="宋体" w:hAnsi="宋体" w:cs="宋体"/>
                <w:spacing w:val="4"/>
                <w:sz w:val="20"/>
                <w:szCs w:val="20"/>
              </w:rPr>
            </w:pPr>
            <w:r>
              <w:rPr>
                <w:rFonts w:hint="eastAsia" w:ascii="宋体" w:hAnsi="宋体" w:cs="宋体"/>
                <w:sz w:val="20"/>
                <w:szCs w:val="20"/>
              </w:rPr>
              <w:t>(10分)</w:t>
            </w:r>
          </w:p>
        </w:tc>
        <w:tc>
          <w:tcPr>
            <w:tcW w:w="6742" w:type="dxa"/>
            <w:gridSpan w:val="3"/>
            <w:vAlign w:val="center"/>
          </w:tcPr>
          <w:p w14:paraId="2415DFB1">
            <w:pPr>
              <w:spacing w:line="360" w:lineRule="auto"/>
              <w:jc w:val="left"/>
              <w:rPr>
                <w:rFonts w:hint="eastAsia" w:ascii="宋体" w:hAnsi="宋体" w:cs="宋体"/>
                <w:sz w:val="20"/>
                <w:szCs w:val="20"/>
              </w:rPr>
            </w:pPr>
            <w:r>
              <w:rPr>
                <w:rFonts w:hint="eastAsia" w:ascii="宋体" w:hAnsi="宋体" w:cs="宋体"/>
                <w:sz w:val="20"/>
                <w:szCs w:val="20"/>
              </w:rPr>
              <w:t>对供应商实施方案编制的合理可行性，不可预见因素的预测，实施步骤，对项目整体理解准确、对用户需求理解到位、系统、安全、经济、可操作性强等情况进行评价：</w:t>
            </w:r>
          </w:p>
          <w:p w14:paraId="48E6EECB">
            <w:pPr>
              <w:spacing w:line="380" w:lineRule="exact"/>
              <w:jc w:val="left"/>
              <w:rPr>
                <w:rFonts w:hint="eastAsia" w:ascii="宋体" w:hAnsi="宋体" w:cs="宋体"/>
                <w:sz w:val="20"/>
                <w:szCs w:val="20"/>
              </w:rPr>
            </w:pPr>
            <w:r>
              <w:rPr>
                <w:rFonts w:hint="eastAsia" w:ascii="宋体" w:hAnsi="宋体" w:cs="宋体"/>
                <w:sz w:val="20"/>
                <w:szCs w:val="20"/>
              </w:rPr>
              <w:t>1.实施方案完全满足全部项目服务与建设要求。供应商对项目整体建设目标、建设内容、业务架构、技术要求理解精准、全面、贴合实际；对用户业务场景、使用习惯、管理需求、实际痛点理解到位，能够充分结合现场实际使用情况进行方案设计。实施步骤划分科学、流程清晰、阶段衔接严密，从前期准备、部署实施、调试联调、测试验收、交付运维全过程步骤完整、规范、可落地。实施工期计划、人员配置、资源投入、施工组织安排充分、合理、均衡，整体可行性极高。能够全面识别项目实施过程中的各类隐患及不可预见因素，针对环境适配、设备兼容、系统对接、网络波动、施工交叉、工期波动、运维风险等问题均有精准预判、预防措施和处置预案。方案整体体系完整、逻辑严谨、系统性强，充分考虑项目建设的安全性、投资经济性、后期运维便捷性，整体可操作性极强。方案内容针对性强、贴合本项目专属需求，文字描述规范清晰、细节周全，可直接指导项目全过程实施的得分10分；</w:t>
            </w:r>
          </w:p>
          <w:p w14:paraId="5596FB0E">
            <w:pPr>
              <w:spacing w:line="380" w:lineRule="exact"/>
              <w:jc w:val="left"/>
              <w:rPr>
                <w:rFonts w:hint="eastAsia" w:ascii="宋体" w:hAnsi="宋体" w:cs="宋体"/>
                <w:sz w:val="20"/>
                <w:szCs w:val="20"/>
              </w:rPr>
            </w:pPr>
            <w:r>
              <w:rPr>
                <w:rFonts w:hint="eastAsia" w:ascii="宋体" w:hAnsi="宋体" w:cs="宋体"/>
                <w:sz w:val="20"/>
                <w:szCs w:val="20"/>
              </w:rPr>
              <w:t>2.实施方案基本满足项目全部服务要求。对项目整体建设内容、核心业务需求理解较为准确，能够结合用户实际使用情况开展方案设计，实施细节考虑较为到位。实施步骤完整、流程有序、阶段划分清晰，具备完整的实施流程体系。实施计划安排合理、工期及资源配置得当，能够保障项目正常推进落地。能够识别项目实施中的大部分常见风险，对不可预见因素具备一定预判能力，并配备基础应对措施。方案内容较为完整、章节齐全、表述较为清晰，具备较好的系统性、安全性、经济性与可操作性。整体贴合项目需求，仅在细节深度、风险预判全面性、个性化针对性方面略有不足，无重大缺项、无原则性问题的得7分；</w:t>
            </w:r>
          </w:p>
          <w:p w14:paraId="7BE44A50">
            <w:pPr>
              <w:spacing w:line="380" w:lineRule="exact"/>
              <w:jc w:val="left"/>
              <w:rPr>
                <w:rFonts w:hint="eastAsia" w:ascii="宋体" w:hAnsi="宋体" w:cs="宋体"/>
                <w:sz w:val="20"/>
                <w:szCs w:val="20"/>
              </w:rPr>
            </w:pPr>
            <w:r>
              <w:rPr>
                <w:rFonts w:hint="eastAsia" w:ascii="宋体" w:hAnsi="宋体" w:cs="宋体"/>
                <w:sz w:val="20"/>
                <w:szCs w:val="20"/>
              </w:rPr>
              <w:t>3.实施方案仅基本满足基础服务要求。具备基础的实施组织计划和简单实施步骤，能够体现项目实施基本流程。对项目整体框架、用户需求有初步认知，但理解不够深入、不够精准，未充分结合用户实际使用场景与管理细节。对项目实施中的不可预见因素预判不足、风险识别片面，缺少系统性的风险防控和应对措施。方案整体内容较为片面，关键实施细节、技术保障、安全管控、经济性控制、实操措施阐述简略、表述不够清晰。方案系统性、安全性、经济性、可操作性考虑不全面，通用化内容多、项目针对性弱，仅能满足最基础的实施参考作用，落地指导性一般的得5分；</w:t>
            </w:r>
          </w:p>
          <w:p w14:paraId="318A76AF">
            <w:pPr>
              <w:spacing w:line="360" w:lineRule="auto"/>
              <w:rPr>
                <w:rFonts w:hint="eastAsia" w:ascii="宋体" w:hAnsi="宋体" w:cs="宋体"/>
                <w:sz w:val="20"/>
                <w:szCs w:val="20"/>
              </w:rPr>
            </w:pPr>
            <w:r>
              <w:rPr>
                <w:rFonts w:hint="eastAsia" w:ascii="宋体" w:hAnsi="宋体" w:cs="宋体"/>
                <w:sz w:val="20"/>
                <w:szCs w:val="20"/>
              </w:rPr>
              <w:t>4.实施方案编制质量差、整体内容简略、论述单薄、结构不完善。对项目整体建设目标、建设逻辑、用户核心需求理解模糊、偏差较大，未结合用户实际使用情况编制方案。实施步骤混乱或缺失，无科学合理的实施计划与施工组织安排，可操作性差。完全未对项目实施过程中的不可预见因素、潜在风险进行分析与预判，无任何风险防控、应急处置措施。方案缺乏系统性架构，安全保障、经济管控、实施保障等关键内容缺失严重，内容多为通用模板，无本项目针对性内容，无法有效指导项目实施，整体不具备落地价值的得3分；</w:t>
            </w:r>
          </w:p>
          <w:p w14:paraId="29BA8CA0">
            <w:pPr>
              <w:spacing w:line="360" w:lineRule="auto"/>
              <w:rPr>
                <w:rFonts w:hint="eastAsia" w:ascii="宋体" w:hAnsi="宋体" w:cs="宋体"/>
                <w:sz w:val="20"/>
                <w:szCs w:val="20"/>
              </w:rPr>
            </w:pPr>
            <w:r>
              <w:rPr>
                <w:rFonts w:hint="eastAsia" w:ascii="宋体" w:hAnsi="宋体" w:cs="宋体"/>
                <w:sz w:val="20"/>
                <w:szCs w:val="20"/>
              </w:rPr>
              <w:t>缺项不得分。</w:t>
            </w:r>
          </w:p>
        </w:tc>
      </w:tr>
      <w:tr w14:paraId="20FC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43" w:type="dxa"/>
            <w:vMerge w:val="continue"/>
            <w:vAlign w:val="center"/>
          </w:tcPr>
          <w:p w14:paraId="1DF98AE3">
            <w:pPr>
              <w:spacing w:line="360" w:lineRule="auto"/>
              <w:jc w:val="center"/>
              <w:rPr>
                <w:rFonts w:hint="eastAsia" w:ascii="宋体" w:hAnsi="宋体" w:cs="宋体"/>
                <w:b/>
                <w:sz w:val="24"/>
              </w:rPr>
            </w:pPr>
          </w:p>
        </w:tc>
        <w:tc>
          <w:tcPr>
            <w:tcW w:w="1091" w:type="dxa"/>
            <w:gridSpan w:val="2"/>
            <w:vMerge w:val="continue"/>
            <w:vAlign w:val="center"/>
          </w:tcPr>
          <w:p w14:paraId="2D67094B">
            <w:pPr>
              <w:spacing w:line="360" w:lineRule="auto"/>
              <w:jc w:val="center"/>
              <w:rPr>
                <w:rFonts w:hint="eastAsia" w:ascii="宋体" w:hAnsi="宋体" w:cs="宋体"/>
                <w:b/>
                <w:sz w:val="24"/>
              </w:rPr>
            </w:pPr>
          </w:p>
        </w:tc>
        <w:tc>
          <w:tcPr>
            <w:tcW w:w="1230" w:type="dxa"/>
            <w:gridSpan w:val="2"/>
            <w:vAlign w:val="center"/>
          </w:tcPr>
          <w:p w14:paraId="078195A8">
            <w:pPr>
              <w:spacing w:line="360" w:lineRule="auto"/>
              <w:jc w:val="center"/>
              <w:rPr>
                <w:rFonts w:hint="eastAsia" w:ascii="宋体" w:hAnsi="宋体" w:cs="宋体"/>
                <w:spacing w:val="4"/>
                <w:sz w:val="20"/>
                <w:szCs w:val="20"/>
              </w:rPr>
            </w:pPr>
            <w:r>
              <w:rPr>
                <w:rFonts w:hint="eastAsia" w:ascii="宋体" w:hAnsi="宋体" w:cs="宋体"/>
                <w:sz w:val="20"/>
                <w:szCs w:val="20"/>
              </w:rPr>
              <w:t>质量及安全控制措施（10分）</w:t>
            </w:r>
          </w:p>
        </w:tc>
        <w:tc>
          <w:tcPr>
            <w:tcW w:w="6742" w:type="dxa"/>
            <w:gridSpan w:val="3"/>
            <w:vAlign w:val="center"/>
          </w:tcPr>
          <w:p w14:paraId="74D710D0">
            <w:pPr>
              <w:spacing w:line="360" w:lineRule="auto"/>
              <w:jc w:val="left"/>
              <w:rPr>
                <w:rFonts w:hint="eastAsia" w:ascii="宋体" w:hAnsi="宋体" w:cs="宋体"/>
                <w:sz w:val="20"/>
                <w:szCs w:val="20"/>
              </w:rPr>
            </w:pPr>
            <w:r>
              <w:rPr>
                <w:rFonts w:hint="eastAsia" w:ascii="宋体" w:hAnsi="宋体" w:cs="宋体"/>
                <w:sz w:val="20"/>
                <w:szCs w:val="20"/>
              </w:rPr>
              <w:t>对采购过程的质量监督与控制计划，安全控制措施；遇到紧急问题的解决方案和现场与各部门的协调管理计划等情况进行评价：</w:t>
            </w:r>
          </w:p>
          <w:p w14:paraId="075FBB07">
            <w:pPr>
              <w:spacing w:line="360" w:lineRule="auto"/>
              <w:jc w:val="left"/>
              <w:rPr>
                <w:rFonts w:hint="eastAsia" w:ascii="宋体" w:hAnsi="宋体" w:cs="宋体"/>
                <w:sz w:val="20"/>
                <w:szCs w:val="20"/>
              </w:rPr>
            </w:pPr>
            <w:r>
              <w:rPr>
                <w:rFonts w:hint="eastAsia" w:ascii="宋体" w:hAnsi="宋体" w:cs="宋体"/>
                <w:sz w:val="20"/>
                <w:szCs w:val="20"/>
              </w:rPr>
              <w:t>1.供应商针对本项目制定完整、细化、可落地的采购全过程质量监督与管控体系，覆盖采购选型、货源把控、进场验收、抽检复检、资料核验、质量追溯、过程管控全流程，质量监督节点清晰、管控责任明确、管控标准贴合项目实际。项目安全控制措施全面系统，覆盖采购物资安全、现场作业安全、施工运维安全、风险防控、隐患排查闭环管理，措施细化、标准严格、贴合本项目场景。针对项目实施过程中可能出现的各类紧急故障、突发问题、突发风险，制定专项、成熟、可立即执行的应急处置方案，包含问题预判、快速响应、应急流程、处置步骤、止损措施、事后复盘整改机制。建立完善的现场管理及多部门联动协调机制，明确与建设单位、监理、运维、业务科室、属地管理部门的对接流程、沟通机制、问题上报、协同推进计划，分工清晰、流程闭环、统筹高效。整体方案无通用套话，完全针对本项目定制，措施详实、落地性极强、管控力度充足，能够有效保障项目采购质量、施工安全、现场秩序和项目整体推进的得10分；</w:t>
            </w:r>
          </w:p>
          <w:p w14:paraId="4EE41A1C">
            <w:pPr>
              <w:spacing w:line="360" w:lineRule="auto"/>
              <w:jc w:val="left"/>
              <w:rPr>
                <w:rFonts w:hint="eastAsia" w:ascii="宋体" w:hAnsi="宋体" w:cs="宋体"/>
                <w:sz w:val="20"/>
                <w:szCs w:val="20"/>
              </w:rPr>
            </w:pPr>
            <w:r>
              <w:rPr>
                <w:rFonts w:hint="eastAsia" w:ascii="宋体" w:hAnsi="宋体" w:cs="宋体"/>
                <w:sz w:val="20"/>
                <w:szCs w:val="20"/>
              </w:rPr>
              <w:t>2.供应商采购质量监督与过程控制体系较为完整，覆盖采购关键环节、进场验收、过程质量管控等主要内容，管控流程规范，能够有效把控采购质量。安全控制措施较为齐全，涵盖现场作业、物资管理、常规安全风险防控等主要内容，措施合理可行、符合项目安全管理要求。针对常见紧急问题具备对应的处置方案，响应流程、处置措施基本完善，可应对大部分突发情况。现场与各部门协调管理制度基本健全，具备常态化沟通、对接、联动机制，能够保障项目正常推进。整体措施针对性较好，贴合项目实际，仅部分细分管控细节、应急细化流程、协调细化机制不够深入，无缺项、无原则性问题的得7分；</w:t>
            </w:r>
          </w:p>
          <w:p w14:paraId="27BEE449">
            <w:pPr>
              <w:spacing w:line="360" w:lineRule="auto"/>
              <w:jc w:val="left"/>
              <w:rPr>
                <w:rFonts w:hint="eastAsia" w:ascii="宋体" w:hAnsi="宋体" w:cs="宋体"/>
                <w:sz w:val="20"/>
                <w:szCs w:val="20"/>
              </w:rPr>
            </w:pPr>
            <w:r>
              <w:rPr>
                <w:rFonts w:hint="eastAsia" w:ascii="宋体" w:hAnsi="宋体" w:cs="宋体"/>
                <w:sz w:val="20"/>
                <w:szCs w:val="20"/>
              </w:rPr>
              <w:t>3.供应商仅提供常规、通用性的采购质量监督、安全管控内容，未结合本项目特点细化设计。采购质量管控内容简单粗放，仅概述基础验收、基础管控要求，缺少全过程节点监督、质量追溯、抽检管控等细化措施。安全控制措施为通用模板内容，较为笼统，无项目专属风险管控要点。紧急问题解决方案简单常规，处置流程不完善、响应机制不明确，无法应对复杂突发情况。部门协调管理仅有简单沟通表述，无系统化对接机制、联动流程和问题协调闭环措施。整体内容通用性强、针对性弱，仅能满足最低限度管理要求，措施基本可行但落地性、实效性一般。的得5分；</w:t>
            </w:r>
          </w:p>
          <w:p w14:paraId="39F84E87">
            <w:pPr>
              <w:spacing w:line="360" w:lineRule="auto"/>
              <w:jc w:val="left"/>
              <w:rPr>
                <w:rFonts w:hint="eastAsia" w:ascii="宋体" w:hAnsi="宋体" w:cs="宋体"/>
                <w:sz w:val="20"/>
                <w:szCs w:val="20"/>
              </w:rPr>
            </w:pPr>
            <w:r>
              <w:rPr>
                <w:rFonts w:hint="eastAsia" w:ascii="宋体" w:hAnsi="宋体" w:cs="宋体"/>
                <w:sz w:val="20"/>
                <w:szCs w:val="20"/>
              </w:rPr>
              <w:t>4.采购质量监督计划、安全控制措施内容简单、片面、逻辑性差，部分管控内容与本项目实际不符，存在表述偏差、管控缺失。无清晰的紧急问题应急处置流程，应对措施空洞、无法落地，不具备实际应急处置能力。现场部门协调管理机制缺失或表述混乱，无具体对接方式、管理流程和协调办法。整体措施不完善、可行性差、针对性严重不足，无法有效保障采购质量、现场安全及项目顺利推进的得3分；</w:t>
            </w:r>
          </w:p>
          <w:p w14:paraId="01A6D7D7">
            <w:pPr>
              <w:spacing w:line="360" w:lineRule="auto"/>
              <w:rPr>
                <w:rFonts w:hint="eastAsia" w:ascii="宋体" w:hAnsi="宋体" w:cs="宋体"/>
                <w:sz w:val="20"/>
                <w:szCs w:val="20"/>
              </w:rPr>
            </w:pPr>
            <w:r>
              <w:rPr>
                <w:rFonts w:hint="eastAsia" w:ascii="宋体" w:hAnsi="宋体" w:cs="宋体"/>
                <w:sz w:val="20"/>
                <w:szCs w:val="20"/>
              </w:rPr>
              <w:t>缺项不得分。</w:t>
            </w:r>
          </w:p>
        </w:tc>
      </w:tr>
      <w:tr w14:paraId="3A66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843" w:type="dxa"/>
            <w:vMerge w:val="continue"/>
            <w:vAlign w:val="center"/>
          </w:tcPr>
          <w:p w14:paraId="27DDDDB9">
            <w:pPr>
              <w:spacing w:line="360" w:lineRule="auto"/>
              <w:jc w:val="center"/>
              <w:rPr>
                <w:rFonts w:hint="eastAsia" w:ascii="宋体" w:hAnsi="宋体" w:cs="宋体"/>
                <w:sz w:val="24"/>
              </w:rPr>
            </w:pPr>
          </w:p>
        </w:tc>
        <w:tc>
          <w:tcPr>
            <w:tcW w:w="1091" w:type="dxa"/>
            <w:gridSpan w:val="2"/>
            <w:vMerge w:val="continue"/>
            <w:vAlign w:val="center"/>
          </w:tcPr>
          <w:p w14:paraId="56149A2C">
            <w:pPr>
              <w:spacing w:line="360" w:lineRule="auto"/>
              <w:jc w:val="center"/>
              <w:rPr>
                <w:rFonts w:hint="eastAsia" w:ascii="宋体" w:hAnsi="宋体" w:cs="宋体"/>
                <w:b/>
                <w:bCs/>
                <w:sz w:val="24"/>
              </w:rPr>
            </w:pPr>
          </w:p>
        </w:tc>
        <w:tc>
          <w:tcPr>
            <w:tcW w:w="1230" w:type="dxa"/>
            <w:gridSpan w:val="2"/>
            <w:vAlign w:val="center"/>
          </w:tcPr>
          <w:p w14:paraId="46310DD2">
            <w:pPr>
              <w:spacing w:line="360" w:lineRule="auto"/>
              <w:jc w:val="center"/>
              <w:rPr>
                <w:rFonts w:hint="eastAsia" w:ascii="宋体" w:hAnsi="宋体" w:cs="宋体"/>
                <w:sz w:val="20"/>
                <w:szCs w:val="20"/>
              </w:rPr>
            </w:pPr>
            <w:r>
              <w:rPr>
                <w:rFonts w:hint="eastAsia" w:ascii="宋体" w:hAnsi="宋体" w:cs="宋体"/>
                <w:sz w:val="20"/>
                <w:szCs w:val="20"/>
              </w:rPr>
              <w:t>安全管理</w:t>
            </w:r>
          </w:p>
          <w:p w14:paraId="2F6F4AF3">
            <w:pPr>
              <w:spacing w:line="360" w:lineRule="auto"/>
              <w:jc w:val="center"/>
              <w:rPr>
                <w:rFonts w:hint="eastAsia" w:ascii="宋体" w:hAnsi="宋体" w:cs="宋体"/>
                <w:sz w:val="20"/>
                <w:szCs w:val="20"/>
              </w:rPr>
            </w:pPr>
            <w:r>
              <w:rPr>
                <w:rFonts w:hint="eastAsia" w:ascii="宋体" w:hAnsi="宋体" w:cs="宋体"/>
                <w:sz w:val="20"/>
                <w:szCs w:val="20"/>
              </w:rPr>
              <w:t>方案</w:t>
            </w:r>
          </w:p>
          <w:p w14:paraId="2C36C573">
            <w:pPr>
              <w:spacing w:line="360" w:lineRule="auto"/>
              <w:jc w:val="center"/>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61026C42">
            <w:pPr>
              <w:spacing w:line="380" w:lineRule="exact"/>
              <w:jc w:val="left"/>
              <w:rPr>
                <w:rFonts w:hint="eastAsia" w:ascii="宋体" w:hAnsi="宋体" w:cs="宋体"/>
                <w:sz w:val="20"/>
                <w:szCs w:val="20"/>
              </w:rPr>
            </w:pPr>
            <w:r>
              <w:rPr>
                <w:rFonts w:hint="eastAsia" w:ascii="宋体" w:hAnsi="宋体" w:cs="宋体"/>
                <w:sz w:val="20"/>
                <w:szCs w:val="20"/>
              </w:rPr>
              <w:t>根据供应商的安全管理方案整体编制水平进行评分，</w:t>
            </w:r>
          </w:p>
          <w:p w14:paraId="79D53E05">
            <w:pPr>
              <w:spacing w:line="380" w:lineRule="exact"/>
              <w:jc w:val="left"/>
              <w:rPr>
                <w:rFonts w:hint="eastAsia" w:ascii="宋体" w:hAnsi="宋体" w:cs="宋体"/>
                <w:sz w:val="20"/>
                <w:szCs w:val="20"/>
              </w:rPr>
            </w:pPr>
            <w:r>
              <w:rPr>
                <w:rFonts w:hint="eastAsia" w:ascii="宋体" w:hAnsi="宋体" w:cs="宋体"/>
                <w:sz w:val="20"/>
                <w:szCs w:val="20"/>
              </w:rPr>
              <w:t>1.供应商安全管理方案编制体系规范、结构完整、逻辑严谨、整体科学性高。方案全面覆盖本项目施工、部署、调试、运维全周期安全管理内容，包含安全组织架构、岗位职责、风险辨识、分级管控、现场安全、用电安全、设备安全、信息数据安全、隐患排查、安全教育、应急处置、事故上报、闭环管理等全部核心模块。所有管理制度、管控流程、防控措施、作业要求均结合本项目智能化系统施工、机房作业、设备安装、数据运行、日常运维等实际场景量身编制，贴合项目真实风险点。方案布局合理、流程清晰、措施细化具体、可落地、可执行、可考核，无通用空洞套话，项目针对性极强，能够全方位、系统性保障项目全过程安全稳定实施的得10分；</w:t>
            </w:r>
          </w:p>
          <w:p w14:paraId="4E234DC5">
            <w:pPr>
              <w:spacing w:line="380" w:lineRule="exact"/>
              <w:jc w:val="left"/>
              <w:rPr>
                <w:rFonts w:hint="eastAsia" w:ascii="宋体" w:hAnsi="宋体" w:cs="宋体"/>
                <w:sz w:val="20"/>
                <w:szCs w:val="20"/>
              </w:rPr>
            </w:pPr>
            <w:r>
              <w:rPr>
                <w:rFonts w:hint="eastAsia" w:ascii="宋体" w:hAnsi="宋体" w:cs="宋体"/>
                <w:sz w:val="20"/>
                <w:szCs w:val="20"/>
              </w:rPr>
              <w:t>2.供应商安全管理方案编制较为规范，整体框架完整、结构合理、逻辑清晰，具备较强科学性。方案涵盖项目主要安全管理模块，安全管理制度、现场管控、隐患治理、应急管理等核心内容齐全，能够覆盖项目实施主要安全风险。管控措施基本完善、流程规范、具备落地可行性，能够满足本项目安全管理需求。方案能够结合项目特点开展安全规划，具备较好的项目针对性。仅部分细分安全管控细节、专项风险防控内容不够深入，整体无缺项、无原则性问题、无明显漏洞的得7分</w:t>
            </w:r>
          </w:p>
          <w:p w14:paraId="001BDDA1">
            <w:pPr>
              <w:spacing w:line="380" w:lineRule="exact"/>
              <w:jc w:val="left"/>
              <w:rPr>
                <w:rFonts w:hint="eastAsia" w:ascii="宋体" w:hAnsi="宋体" w:cs="宋体"/>
                <w:sz w:val="20"/>
                <w:szCs w:val="20"/>
              </w:rPr>
            </w:pPr>
            <w:r>
              <w:rPr>
                <w:rFonts w:hint="eastAsia" w:ascii="宋体" w:hAnsi="宋体" w:cs="宋体"/>
                <w:sz w:val="20"/>
                <w:szCs w:val="20"/>
              </w:rPr>
              <w:t>3.供应商安全管理方案框架基本完整，具备基础安全管理内容与常规管控措施，整体基本满足项目最低安全管理要求，具备基本可行性。方案对本项目安全风险有一定认知和对应管控表述，具备初步针对性。但方案内容较为常规、偏通用化，细化程度不足，部分安全管理模块内容简单、阐述单薄，风险辨识不全面、管控措施不够具体、流程不够完善，落地指导性一般，安全管控系统性、完整性较弱的得5分；</w:t>
            </w:r>
          </w:p>
          <w:p w14:paraId="6BDA2459">
            <w:pPr>
              <w:spacing w:line="360" w:lineRule="auto"/>
              <w:rPr>
                <w:rFonts w:hint="eastAsia" w:ascii="宋体" w:hAnsi="宋体" w:cs="宋体"/>
                <w:sz w:val="20"/>
                <w:szCs w:val="20"/>
              </w:rPr>
            </w:pPr>
            <w:r>
              <w:rPr>
                <w:rFonts w:hint="eastAsia" w:ascii="宋体" w:hAnsi="宋体" w:cs="宋体"/>
                <w:sz w:val="20"/>
                <w:szCs w:val="20"/>
              </w:rPr>
              <w:t>4.供应商安全管理方案整体编制质量较差，结构零散、内容简略、逻辑混乱。多为通用模板内容，未结合本项目智能化施工、系统运维、信息安全等专属风险特点，几乎无项目针对性。安全管理体系不健全，关键安全管控模块缺失、措施空洞、流于形式，风险防控、隐患治理、应急管理等核心内容不完善。方案科学性、合理性、可行性不足，无法有效指导本项目安全管理工作的得3分；</w:t>
            </w:r>
          </w:p>
          <w:p w14:paraId="33B503D2">
            <w:pPr>
              <w:spacing w:line="360" w:lineRule="auto"/>
              <w:rPr>
                <w:rFonts w:hint="eastAsia" w:ascii="宋体" w:hAnsi="宋体" w:cs="宋体"/>
                <w:sz w:val="20"/>
                <w:szCs w:val="20"/>
              </w:rPr>
            </w:pPr>
            <w:r>
              <w:rPr>
                <w:rFonts w:hint="eastAsia" w:ascii="宋体" w:hAnsi="宋体" w:cs="宋体"/>
                <w:sz w:val="20"/>
                <w:szCs w:val="20"/>
              </w:rPr>
              <w:t>缺项不得分。</w:t>
            </w:r>
          </w:p>
        </w:tc>
      </w:tr>
      <w:tr w14:paraId="73CD8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3" w:type="dxa"/>
            <w:vMerge w:val="continue"/>
            <w:vAlign w:val="center"/>
          </w:tcPr>
          <w:p w14:paraId="1353084B">
            <w:pPr>
              <w:spacing w:line="360" w:lineRule="auto"/>
              <w:jc w:val="center"/>
              <w:rPr>
                <w:rFonts w:hint="eastAsia" w:ascii="宋体" w:hAnsi="宋体" w:cs="宋体"/>
                <w:b/>
                <w:bCs/>
                <w:sz w:val="24"/>
              </w:rPr>
            </w:pPr>
          </w:p>
        </w:tc>
        <w:tc>
          <w:tcPr>
            <w:tcW w:w="1091" w:type="dxa"/>
            <w:gridSpan w:val="2"/>
            <w:vMerge w:val="continue"/>
            <w:vAlign w:val="center"/>
          </w:tcPr>
          <w:p w14:paraId="6DD822A6">
            <w:pPr>
              <w:spacing w:line="360" w:lineRule="auto"/>
              <w:jc w:val="center"/>
              <w:rPr>
                <w:rFonts w:hint="eastAsia" w:ascii="宋体" w:hAnsi="宋体" w:cs="宋体"/>
                <w:b/>
                <w:bCs/>
                <w:sz w:val="24"/>
              </w:rPr>
            </w:pPr>
          </w:p>
        </w:tc>
        <w:tc>
          <w:tcPr>
            <w:tcW w:w="1230" w:type="dxa"/>
            <w:gridSpan w:val="2"/>
            <w:vAlign w:val="center"/>
          </w:tcPr>
          <w:p w14:paraId="0028AE0D">
            <w:pPr>
              <w:spacing w:line="360" w:lineRule="auto"/>
              <w:jc w:val="center"/>
              <w:rPr>
                <w:rFonts w:hint="eastAsia" w:ascii="宋体" w:hAnsi="宋体" w:cs="宋体"/>
                <w:sz w:val="20"/>
                <w:szCs w:val="20"/>
              </w:rPr>
            </w:pPr>
            <w:r>
              <w:rPr>
                <w:rFonts w:hint="eastAsia" w:ascii="宋体" w:hAnsi="宋体" w:cs="宋体"/>
                <w:sz w:val="20"/>
                <w:szCs w:val="20"/>
              </w:rPr>
              <w:t>保密管理</w:t>
            </w:r>
          </w:p>
          <w:p w14:paraId="50EA72E3">
            <w:pPr>
              <w:spacing w:line="360" w:lineRule="auto"/>
              <w:jc w:val="center"/>
              <w:rPr>
                <w:rFonts w:hint="eastAsia" w:ascii="宋体" w:hAnsi="宋体" w:cs="宋体"/>
                <w:sz w:val="20"/>
                <w:szCs w:val="20"/>
              </w:rPr>
            </w:pPr>
            <w:r>
              <w:rPr>
                <w:rFonts w:hint="eastAsia" w:ascii="宋体" w:hAnsi="宋体" w:cs="宋体"/>
                <w:sz w:val="20"/>
                <w:szCs w:val="20"/>
              </w:rPr>
              <w:t>制度方案</w:t>
            </w:r>
          </w:p>
          <w:p w14:paraId="34BA550B">
            <w:pPr>
              <w:spacing w:line="360" w:lineRule="auto"/>
              <w:jc w:val="center"/>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64FF8AD6">
            <w:pPr>
              <w:spacing w:line="380" w:lineRule="exact"/>
              <w:jc w:val="left"/>
              <w:rPr>
                <w:rFonts w:hint="eastAsia" w:ascii="宋体" w:hAnsi="宋体" w:cs="宋体"/>
                <w:sz w:val="20"/>
                <w:szCs w:val="20"/>
              </w:rPr>
            </w:pPr>
            <w:r>
              <w:rPr>
                <w:rFonts w:hint="eastAsia" w:ascii="宋体" w:hAnsi="宋体" w:cs="宋体"/>
                <w:sz w:val="20"/>
                <w:szCs w:val="20"/>
              </w:rPr>
              <w:t>根据供应商的保密管理制度方案整体编制水平进行评分，</w:t>
            </w:r>
          </w:p>
          <w:p w14:paraId="3064073C">
            <w:pPr>
              <w:spacing w:line="380" w:lineRule="exact"/>
              <w:jc w:val="left"/>
              <w:rPr>
                <w:rFonts w:hint="eastAsia" w:ascii="宋体" w:hAnsi="宋体" w:cs="宋体"/>
                <w:sz w:val="20"/>
                <w:szCs w:val="20"/>
              </w:rPr>
            </w:pPr>
            <w:r>
              <w:rPr>
                <w:rFonts w:hint="eastAsia" w:ascii="宋体" w:hAnsi="宋体" w:cs="宋体"/>
                <w:sz w:val="20"/>
                <w:szCs w:val="20"/>
              </w:rPr>
              <w:t>1.供应商保密管理制度方案整体编制规范严谨、体系科学完整，覆盖本项目全周期保密管理工作。方案完整包含保密组织机构、岗位职责、涉密范围界定、人员保密管理、设备介质保密、机房与系统后台保密、数据信息保密、文件资料管理、对外信息披露管控、保密检查、隐患整改、泄密处置、责任追究、保密培训考核等全套内容。制度条款逻辑清晰、流程闭环、权责分明、管控节点全面，完全贴合智能化信息监管系统项目数据涉密、后台权限涉密、监控涉密、机房涉密、运维涉密等专属场景。所有管控措施细化、落地性强、可执行、可考核，无通用空洞套话，项目针对性极强，能够全面、有效防范项目各类泄密风险，完全满足项目保密管理要求的得10分；</w:t>
            </w:r>
          </w:p>
          <w:p w14:paraId="6CC0B0A5">
            <w:pPr>
              <w:spacing w:line="380" w:lineRule="exact"/>
              <w:jc w:val="left"/>
              <w:rPr>
                <w:rFonts w:hint="eastAsia" w:ascii="宋体" w:hAnsi="宋体" w:cs="宋体"/>
                <w:sz w:val="20"/>
                <w:szCs w:val="20"/>
              </w:rPr>
            </w:pPr>
            <w:r>
              <w:rPr>
                <w:rFonts w:hint="eastAsia" w:ascii="宋体" w:hAnsi="宋体" w:cs="宋体"/>
                <w:sz w:val="20"/>
                <w:szCs w:val="20"/>
              </w:rPr>
              <w:t>2.供应商保密管理制度方案整体框架规范、结构完整、编制较为科学合理。核心保密管理模块齐全，涵盖人员、资料、设备、信息、检查、应急处置等主要保密内容，管理制度基本完善、流程清晰、具备良好落地可行性。方案能够结合本项目智能化系统、数据信息、运维管理等涉密特点进行编制，具备较好的项目针对性，可满足项目全过程保密管理需要。仅部分细分管控细则、特殊场景保密措施、精细化管控条款阐述不够深入，整体无缺项、无漏洞、无原则性问题的得7分；</w:t>
            </w:r>
          </w:p>
          <w:p w14:paraId="58CB04DA">
            <w:pPr>
              <w:spacing w:line="380" w:lineRule="exact"/>
              <w:jc w:val="left"/>
              <w:rPr>
                <w:rFonts w:hint="eastAsia" w:ascii="宋体" w:hAnsi="宋体" w:cs="宋体"/>
                <w:sz w:val="20"/>
                <w:szCs w:val="20"/>
              </w:rPr>
            </w:pPr>
            <w:r>
              <w:rPr>
                <w:rFonts w:hint="eastAsia" w:ascii="宋体" w:hAnsi="宋体" w:cs="宋体"/>
                <w:sz w:val="20"/>
                <w:szCs w:val="20"/>
              </w:rPr>
              <w:t>3.供应商保密管理制度方案框架基本完整，具备基础保密管理条款和常规管控要求，整体基本可行。对本项目信息保密、数据涉密等特点有一定认知，具备初步项目针对性。但整体内容偏通用化、细化不足，保密管控体系不够系统，涉密范围划分不细致、岗位保密职责不具体、检查整改机制不完善、泄密处置流程简单。整体仅能满足基础、最低限度的保密管理需求，精细化、专业性、落地性一般的得5分；</w:t>
            </w:r>
          </w:p>
          <w:p w14:paraId="74EE6A61">
            <w:pPr>
              <w:spacing w:line="360" w:lineRule="auto"/>
              <w:rPr>
                <w:rFonts w:hint="eastAsia" w:ascii="宋体" w:hAnsi="宋体" w:cs="宋体"/>
                <w:sz w:val="20"/>
                <w:szCs w:val="20"/>
              </w:rPr>
            </w:pPr>
            <w:r>
              <w:rPr>
                <w:rFonts w:hint="eastAsia" w:ascii="宋体" w:hAnsi="宋体" w:cs="宋体"/>
                <w:sz w:val="20"/>
                <w:szCs w:val="20"/>
              </w:rPr>
              <w:t>4.供应商保密管理制度方案整体编制质量较差，内容简略、结构零散、逻辑不清晰。大量内容为通用模板，未结合本项目智能化系统、涉密数据、机房设备、后台权限等项目实际特点编制，几乎无项目针对性。核心保密管控内容缺失较多，保密职责、管控流程、风险防控、处置机制不完善，制度流于形式、可操作性差，无法有效防范项目泄密风险，不能满足项目保密管理工作需要的得3分；</w:t>
            </w:r>
          </w:p>
          <w:p w14:paraId="2FBB8B4C">
            <w:pPr>
              <w:spacing w:line="360" w:lineRule="auto"/>
              <w:rPr>
                <w:rFonts w:hint="eastAsia" w:ascii="宋体" w:hAnsi="宋体" w:cs="宋体"/>
                <w:sz w:val="20"/>
                <w:szCs w:val="20"/>
              </w:rPr>
            </w:pPr>
            <w:r>
              <w:rPr>
                <w:rFonts w:hint="eastAsia" w:ascii="宋体" w:hAnsi="宋体" w:cs="宋体"/>
                <w:sz w:val="20"/>
                <w:szCs w:val="20"/>
              </w:rPr>
              <w:t>缺项不得分。</w:t>
            </w:r>
          </w:p>
        </w:tc>
      </w:tr>
      <w:tr w14:paraId="1754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43" w:type="dxa"/>
            <w:vMerge w:val="continue"/>
            <w:vAlign w:val="center"/>
          </w:tcPr>
          <w:p w14:paraId="0E7ECE12">
            <w:pPr>
              <w:spacing w:line="360" w:lineRule="auto"/>
              <w:jc w:val="center"/>
              <w:rPr>
                <w:rFonts w:hint="eastAsia" w:ascii="宋体" w:hAnsi="宋体" w:cs="宋体"/>
                <w:b/>
                <w:bCs/>
                <w:sz w:val="24"/>
              </w:rPr>
            </w:pPr>
          </w:p>
        </w:tc>
        <w:tc>
          <w:tcPr>
            <w:tcW w:w="1091" w:type="dxa"/>
            <w:gridSpan w:val="2"/>
            <w:vMerge w:val="continue"/>
            <w:vAlign w:val="center"/>
          </w:tcPr>
          <w:p w14:paraId="464AE940">
            <w:pPr>
              <w:spacing w:line="360" w:lineRule="auto"/>
              <w:jc w:val="center"/>
              <w:rPr>
                <w:rFonts w:hint="eastAsia" w:ascii="宋体" w:hAnsi="宋体" w:cs="宋体"/>
                <w:b/>
                <w:bCs/>
                <w:sz w:val="24"/>
              </w:rPr>
            </w:pPr>
          </w:p>
        </w:tc>
        <w:tc>
          <w:tcPr>
            <w:tcW w:w="1230" w:type="dxa"/>
            <w:gridSpan w:val="2"/>
            <w:vAlign w:val="center"/>
          </w:tcPr>
          <w:p w14:paraId="42783F3A">
            <w:pPr>
              <w:spacing w:line="360" w:lineRule="auto"/>
              <w:jc w:val="center"/>
              <w:rPr>
                <w:rFonts w:hint="eastAsia" w:ascii="宋体" w:hAnsi="宋体" w:cs="宋体"/>
                <w:sz w:val="20"/>
                <w:szCs w:val="20"/>
              </w:rPr>
            </w:pPr>
            <w:r>
              <w:rPr>
                <w:rFonts w:hint="eastAsia" w:ascii="宋体" w:hAnsi="宋体" w:cs="宋体"/>
                <w:sz w:val="20"/>
                <w:szCs w:val="20"/>
              </w:rPr>
              <w:t>应急方案（10分）</w:t>
            </w:r>
          </w:p>
        </w:tc>
        <w:tc>
          <w:tcPr>
            <w:tcW w:w="6742" w:type="dxa"/>
            <w:gridSpan w:val="3"/>
            <w:vAlign w:val="center"/>
          </w:tcPr>
          <w:p w14:paraId="0C0B9FC6">
            <w:pPr>
              <w:spacing w:line="380" w:lineRule="exact"/>
              <w:jc w:val="left"/>
              <w:rPr>
                <w:rFonts w:hint="eastAsia" w:ascii="宋体" w:hAnsi="宋体" w:cs="宋体"/>
                <w:sz w:val="20"/>
                <w:szCs w:val="20"/>
              </w:rPr>
            </w:pPr>
            <w:r>
              <w:rPr>
                <w:rFonts w:hint="eastAsia" w:ascii="宋体" w:hAnsi="宋体" w:cs="宋体"/>
                <w:sz w:val="20"/>
                <w:szCs w:val="20"/>
              </w:rPr>
              <w:t>根据应急方案（包含突发事件、重大活动、重要检查及各级业务主管部门安排的临时性工作等）整体编制水平，基于突发事件的应急方案的实用性、全面性可行性进行打分。</w:t>
            </w:r>
          </w:p>
          <w:p w14:paraId="30057AC0">
            <w:pPr>
              <w:spacing w:line="380" w:lineRule="exact"/>
              <w:jc w:val="left"/>
              <w:rPr>
                <w:rFonts w:hint="eastAsia" w:ascii="宋体" w:hAnsi="宋体" w:cs="宋体"/>
                <w:sz w:val="20"/>
                <w:szCs w:val="20"/>
              </w:rPr>
            </w:pPr>
            <w:r>
              <w:rPr>
                <w:rFonts w:hint="eastAsia" w:ascii="宋体" w:hAnsi="宋体" w:cs="宋体"/>
                <w:sz w:val="20"/>
                <w:szCs w:val="20"/>
              </w:rPr>
              <w:t>1.应急方案编制体系完整、架构科学、逻辑严谨，全面覆盖突发事件应急处置、重大活动全程保障、重要检查迎检保障、各级主管部门临时紧急工作保障四大场景，无任何场景缺漏。方案对本项目各类突发风险预判全面精准，响应机制、分级处置流程、人员分工、物资保障、处置步骤、上报流程、事后复盘整改内容完善详实。充分结合本项目智能化监管系统运行、设备故障、数据异常、网络故障、安全隐患、现场突发问题等实际工况编制，贴合项目真实运行与服务场景。方案实用性极强、落地流程清晰、可直接指导现场应急处置和各类保障工作，针对性、可行性、系统性突出，能够全方位保障项目各类突发情况及重点保障任务平稳落地的得10分；</w:t>
            </w:r>
          </w:p>
          <w:p w14:paraId="597FC027">
            <w:pPr>
              <w:spacing w:line="380" w:lineRule="exact"/>
              <w:jc w:val="left"/>
              <w:rPr>
                <w:rFonts w:hint="eastAsia" w:ascii="宋体" w:hAnsi="宋体" w:cs="宋体"/>
                <w:sz w:val="20"/>
                <w:szCs w:val="20"/>
              </w:rPr>
            </w:pPr>
            <w:r>
              <w:rPr>
                <w:rFonts w:hint="eastAsia" w:ascii="宋体" w:hAnsi="宋体" w:cs="宋体"/>
                <w:sz w:val="20"/>
                <w:szCs w:val="20"/>
              </w:rPr>
              <w:t>2.应急方案整体编制规范、结构完整，全面覆盖突发事件、重大活动、重要检查、上级临时工作各类保障场景。具备完善的应急响应流程、处置措施、人员安排及基础保障机制，整体合理可行。能够结合本项目系统运行及现场服务特点制定对应保障与应急措施，具备较好的项目针对性，可满足项目各类应急处置及重点保障工作需求。仅部分细分场景处置细则、特殊情况预案不够细化，整体无缺项、无原则性问题，实用性、落地性较好的得7分；</w:t>
            </w:r>
          </w:p>
          <w:p w14:paraId="00154690">
            <w:pPr>
              <w:spacing w:line="380" w:lineRule="exact"/>
              <w:jc w:val="left"/>
              <w:rPr>
                <w:rFonts w:hint="eastAsia" w:ascii="宋体" w:hAnsi="宋体" w:cs="宋体"/>
                <w:sz w:val="20"/>
                <w:szCs w:val="20"/>
              </w:rPr>
            </w:pPr>
            <w:r>
              <w:rPr>
                <w:rFonts w:hint="eastAsia" w:ascii="宋体" w:hAnsi="宋体" w:cs="宋体"/>
                <w:sz w:val="20"/>
                <w:szCs w:val="20"/>
              </w:rPr>
              <w:t>3.应急方案整体框架基本完整，包含基础突发事件处置及常规保障内容，能够覆盖主要应急场景，具备基本的应急处置流程和工作安排，整体基本可行。方案对本项目业务特点有一定结合，具备基础针对性。但整体内容偏通用化，重大活动保障、重要迎检、上级临时工作等专项保障内容阐述简单，风险预判不全面、处置流程不够细化，实用性、系统性一般，仅可满足项目基础应急保障需求的得5分；</w:t>
            </w:r>
          </w:p>
          <w:p w14:paraId="1F0F3ED9">
            <w:pPr>
              <w:spacing w:line="360" w:lineRule="auto"/>
              <w:rPr>
                <w:rFonts w:hint="eastAsia" w:ascii="宋体" w:hAnsi="宋体" w:cs="宋体"/>
                <w:sz w:val="20"/>
                <w:szCs w:val="20"/>
              </w:rPr>
            </w:pPr>
            <w:r>
              <w:rPr>
                <w:rFonts w:hint="eastAsia" w:ascii="宋体" w:hAnsi="宋体" w:cs="宋体"/>
                <w:sz w:val="20"/>
                <w:szCs w:val="20"/>
              </w:rPr>
              <w:t>4.应急方案编制质量较差，内容残缺、结构简单、模块缺失严重。仅简单描述常规突发事件内容，重大活动保障、重要检查迎检、上级临时性工作保障等关键内容缺失或未体现。方案多为通用模板内容，未结合本项目智能化系统运行、现场服务、业务管控等实际情况编制，无项目专属应急措施和保障方案，针对性严重不足。应急处置流程空洞、可操作性差，无法有效应对项目突发问题及重点保障工作的得3分；</w:t>
            </w:r>
          </w:p>
          <w:p w14:paraId="24057307">
            <w:pPr>
              <w:spacing w:line="360" w:lineRule="auto"/>
              <w:rPr>
                <w:rFonts w:hint="eastAsia" w:ascii="宋体" w:hAnsi="宋体" w:cs="宋体"/>
                <w:sz w:val="20"/>
                <w:szCs w:val="20"/>
              </w:rPr>
            </w:pPr>
            <w:r>
              <w:rPr>
                <w:rFonts w:hint="eastAsia" w:ascii="宋体" w:hAnsi="宋体" w:cs="宋体"/>
                <w:sz w:val="20"/>
                <w:szCs w:val="20"/>
              </w:rPr>
              <w:t>缺项不得分。</w:t>
            </w:r>
          </w:p>
        </w:tc>
      </w:tr>
      <w:tr w14:paraId="261D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43" w:type="dxa"/>
            <w:vMerge w:val="continue"/>
            <w:vAlign w:val="center"/>
          </w:tcPr>
          <w:p w14:paraId="249D3C53">
            <w:pPr>
              <w:spacing w:line="360" w:lineRule="auto"/>
              <w:jc w:val="center"/>
              <w:rPr>
                <w:rFonts w:hint="eastAsia" w:ascii="宋体" w:hAnsi="宋体" w:cs="宋体"/>
                <w:b/>
                <w:bCs/>
                <w:sz w:val="24"/>
              </w:rPr>
            </w:pPr>
          </w:p>
        </w:tc>
        <w:tc>
          <w:tcPr>
            <w:tcW w:w="1091" w:type="dxa"/>
            <w:gridSpan w:val="2"/>
            <w:vMerge w:val="continue"/>
            <w:vAlign w:val="center"/>
          </w:tcPr>
          <w:p w14:paraId="3CE27346">
            <w:pPr>
              <w:spacing w:line="360" w:lineRule="auto"/>
              <w:jc w:val="center"/>
              <w:rPr>
                <w:rFonts w:hint="eastAsia" w:ascii="宋体" w:hAnsi="宋体" w:cs="宋体"/>
                <w:b/>
                <w:bCs/>
                <w:sz w:val="24"/>
              </w:rPr>
            </w:pPr>
          </w:p>
        </w:tc>
        <w:tc>
          <w:tcPr>
            <w:tcW w:w="1230" w:type="dxa"/>
            <w:gridSpan w:val="2"/>
            <w:vAlign w:val="center"/>
          </w:tcPr>
          <w:p w14:paraId="078C5E86">
            <w:pPr>
              <w:spacing w:line="360" w:lineRule="auto"/>
              <w:jc w:val="center"/>
              <w:rPr>
                <w:rFonts w:hint="eastAsia" w:ascii="宋体" w:hAnsi="宋体" w:cs="宋体"/>
                <w:sz w:val="20"/>
                <w:szCs w:val="20"/>
              </w:rPr>
            </w:pPr>
            <w:r>
              <w:rPr>
                <w:rFonts w:hint="eastAsia" w:ascii="宋体" w:hAnsi="宋体" w:cs="宋体"/>
                <w:sz w:val="20"/>
                <w:szCs w:val="20"/>
              </w:rPr>
              <w:t>培训计划(10分)</w:t>
            </w:r>
          </w:p>
        </w:tc>
        <w:tc>
          <w:tcPr>
            <w:tcW w:w="6742" w:type="dxa"/>
            <w:gridSpan w:val="3"/>
            <w:vAlign w:val="center"/>
          </w:tcPr>
          <w:p w14:paraId="640C7F4B">
            <w:pPr>
              <w:spacing w:line="380" w:lineRule="exact"/>
              <w:jc w:val="left"/>
              <w:rPr>
                <w:rFonts w:hint="eastAsia" w:ascii="宋体" w:hAnsi="宋体" w:cs="宋体"/>
                <w:sz w:val="20"/>
                <w:szCs w:val="20"/>
              </w:rPr>
            </w:pPr>
            <w:r>
              <w:rPr>
                <w:rFonts w:hint="eastAsia" w:ascii="宋体" w:hAnsi="宋体" w:cs="宋体"/>
                <w:sz w:val="20"/>
                <w:szCs w:val="20"/>
              </w:rPr>
              <w:t>培训计划，针对本次服务内容进行中心硬件及平台软件及日常操作等培训。</w:t>
            </w:r>
          </w:p>
          <w:p w14:paraId="47FD28B5">
            <w:pPr>
              <w:spacing w:line="380" w:lineRule="exact"/>
              <w:jc w:val="left"/>
              <w:rPr>
                <w:rFonts w:hint="eastAsia" w:ascii="宋体" w:hAnsi="宋体" w:cs="宋体"/>
                <w:sz w:val="20"/>
                <w:szCs w:val="20"/>
              </w:rPr>
            </w:pPr>
            <w:r>
              <w:rPr>
                <w:rFonts w:hint="eastAsia" w:ascii="宋体" w:hAnsi="宋体" w:cs="宋体"/>
                <w:sz w:val="20"/>
                <w:szCs w:val="20"/>
              </w:rPr>
              <w:t>1.培训计划编制全面完善、体系完整、逻辑层次清晰，完全围绕本项目中心硬件设备、智能化监管平台软件、日常业务操作、常规运维操作等核心服务内容量身定制。培训对象、培训课时、培训方式、培训师资、培训大纲、课程重点、实操演练、考核方式、后期答疑全覆盖。硬件培训涵盖设备原理、结构认知、规范操作、日常巡检、简单故障判断；平台软件培训涵盖系统功能、账号权限、数据查看、预警处置、报表导出、后台基础运维；日常操作培训贴合用户真实岗位业务流程，实操性极强。整体课程安排科学合理、循序渐进、重点突出，理论+实操结合到位，考核机制完善，培训落地路径清晰、可直接落地执行，能够确保参训人员熟练掌握设备及平台全流程操作，项目针对性、实用性、可行性极高的得10分；</w:t>
            </w:r>
          </w:p>
          <w:p w14:paraId="6D6749F7">
            <w:pPr>
              <w:spacing w:line="380" w:lineRule="exact"/>
              <w:jc w:val="left"/>
              <w:rPr>
                <w:rFonts w:hint="eastAsia" w:ascii="宋体" w:hAnsi="宋体" w:cs="宋体"/>
                <w:sz w:val="20"/>
                <w:szCs w:val="20"/>
              </w:rPr>
            </w:pPr>
            <w:r>
              <w:rPr>
                <w:rFonts w:hint="eastAsia" w:ascii="宋体" w:hAnsi="宋体" w:cs="宋体"/>
                <w:sz w:val="20"/>
                <w:szCs w:val="20"/>
              </w:rPr>
              <w:t>2.培训计划整体编制规范、结构完整、逻辑清晰，全面覆盖本项目中心硬件、平台软件、日常操作等核心培训内容。课程内容较为详实，培训流程、授课安排、培训方式合理，具备完整的培训实施流程与基础考核环节。能够结合项目实际服务内容设置对应的软硬件操作课程，理论讲解与实操教学相结合，整体可行性较高，可满足用户岗位日常操作、基础运维的培训需求。仅部分细分操作课程、专项实操演练、差异化培训细节不够深入，无内容缺项，整体培训效果能够保障的得7分；</w:t>
            </w:r>
          </w:p>
          <w:p w14:paraId="0FD9717E">
            <w:pPr>
              <w:spacing w:line="380" w:lineRule="exact"/>
              <w:jc w:val="left"/>
              <w:rPr>
                <w:rFonts w:hint="eastAsia" w:ascii="宋体" w:hAnsi="宋体" w:cs="宋体"/>
                <w:sz w:val="20"/>
                <w:szCs w:val="20"/>
              </w:rPr>
            </w:pPr>
            <w:r>
              <w:rPr>
                <w:rFonts w:hint="eastAsia" w:ascii="宋体" w:hAnsi="宋体" w:cs="宋体"/>
                <w:sz w:val="20"/>
                <w:szCs w:val="20"/>
              </w:rPr>
              <w:t>3.培训计划框架基本完整、逻辑清晰，覆盖硬件设备、平台软件、日常操作基础培训内容，课程安排基本合理。具备基础的培训流程和授课思路，能够开展基础性业务教学，具备基本落地可行性。但培训内容偏概括、细化程度不足，软硬件专项操作、实操演练、重点难点讲解、考核测评机制较为简略，课程针对性一般，仅能满足参训人员基础认知和简单操作需求，培训深度和整体实效性一般的得5分；</w:t>
            </w:r>
          </w:p>
          <w:p w14:paraId="2C2C2C58">
            <w:pPr>
              <w:spacing w:line="360" w:lineRule="auto"/>
              <w:rPr>
                <w:rFonts w:hint="eastAsia" w:ascii="宋体" w:hAnsi="宋体" w:cs="宋体"/>
                <w:sz w:val="20"/>
                <w:szCs w:val="20"/>
              </w:rPr>
            </w:pPr>
            <w:r>
              <w:rPr>
                <w:rFonts w:hint="eastAsia" w:ascii="宋体" w:hAnsi="宋体" w:cs="宋体"/>
                <w:sz w:val="20"/>
                <w:szCs w:val="20"/>
              </w:rPr>
              <w:t>4.培训计划内容单薄、表述简单，整体编制质量一般。虽逻辑无明显混乱，但软硬件专项培训内容、日常操作教学内容笼统粗放，未结合本项目专属硬件型号、平台系统功能、岗位实际操作场景制定课程。缺少系统的培训流程、实操环节、考核机制，培训安排流于形式，落地性、可执行性较差，无法有效保障参训人员熟练掌握系统与设备操作技能的得3分；</w:t>
            </w:r>
          </w:p>
          <w:p w14:paraId="4FE5272F">
            <w:pPr>
              <w:spacing w:line="360" w:lineRule="auto"/>
              <w:rPr>
                <w:rFonts w:hint="eastAsia" w:ascii="宋体" w:hAnsi="宋体" w:cs="宋体"/>
                <w:sz w:val="20"/>
                <w:szCs w:val="20"/>
              </w:rPr>
            </w:pPr>
            <w:r>
              <w:rPr>
                <w:rFonts w:hint="eastAsia" w:ascii="宋体" w:hAnsi="宋体" w:cs="宋体"/>
                <w:sz w:val="20"/>
                <w:szCs w:val="20"/>
              </w:rPr>
              <w:t>缺项不得分。</w:t>
            </w:r>
          </w:p>
        </w:tc>
      </w:tr>
      <w:tr w14:paraId="2B9B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843" w:type="dxa"/>
            <w:vMerge w:val="restart"/>
            <w:vAlign w:val="center"/>
          </w:tcPr>
          <w:p w14:paraId="725C2625">
            <w:pPr>
              <w:spacing w:line="360" w:lineRule="auto"/>
              <w:jc w:val="center"/>
              <w:rPr>
                <w:rFonts w:hint="eastAsia" w:ascii="宋体" w:hAnsi="宋体" w:cs="宋体"/>
                <w:b/>
                <w:bCs/>
                <w:sz w:val="24"/>
              </w:rPr>
            </w:pPr>
            <w:r>
              <w:rPr>
                <w:rFonts w:hint="eastAsia" w:ascii="宋体" w:hAnsi="宋体" w:cs="宋体"/>
                <w:b/>
                <w:bCs/>
                <w:sz w:val="24"/>
              </w:rPr>
              <w:t>综合部分</w:t>
            </w:r>
          </w:p>
        </w:tc>
        <w:tc>
          <w:tcPr>
            <w:tcW w:w="1091" w:type="dxa"/>
            <w:gridSpan w:val="2"/>
            <w:vMerge w:val="restart"/>
            <w:vAlign w:val="center"/>
          </w:tcPr>
          <w:p w14:paraId="1CAC21D4">
            <w:pPr>
              <w:spacing w:line="360" w:lineRule="auto"/>
              <w:jc w:val="center"/>
              <w:rPr>
                <w:rFonts w:hint="eastAsia" w:ascii="宋体" w:hAnsi="宋体" w:cs="宋体"/>
                <w:b/>
                <w:bCs/>
                <w:sz w:val="24"/>
              </w:rPr>
            </w:pPr>
            <w:r>
              <w:rPr>
                <w:rFonts w:hint="eastAsia" w:ascii="宋体" w:hAnsi="宋体" w:cs="宋体"/>
                <w:b/>
                <w:bCs/>
                <w:sz w:val="24"/>
              </w:rPr>
              <w:t>20分</w:t>
            </w:r>
          </w:p>
        </w:tc>
        <w:tc>
          <w:tcPr>
            <w:tcW w:w="1230" w:type="dxa"/>
            <w:gridSpan w:val="2"/>
            <w:vAlign w:val="center"/>
          </w:tcPr>
          <w:p w14:paraId="1BACA4E8">
            <w:pPr>
              <w:spacing w:line="360" w:lineRule="auto"/>
              <w:jc w:val="center"/>
              <w:rPr>
                <w:rFonts w:hint="eastAsia" w:ascii="宋体" w:hAnsi="宋体" w:cs="宋体"/>
                <w:sz w:val="20"/>
                <w:szCs w:val="20"/>
              </w:rPr>
            </w:pPr>
            <w:r>
              <w:rPr>
                <w:rFonts w:hint="eastAsia" w:ascii="宋体" w:hAnsi="宋体" w:cs="宋体"/>
                <w:sz w:val="20"/>
                <w:szCs w:val="20"/>
              </w:rPr>
              <w:t>运维服务</w:t>
            </w:r>
          </w:p>
          <w:p w14:paraId="56796483">
            <w:pPr>
              <w:spacing w:line="360" w:lineRule="auto"/>
              <w:jc w:val="center"/>
              <w:rPr>
                <w:rFonts w:hint="eastAsia" w:ascii="宋体" w:hAnsi="宋体" w:cs="宋体"/>
                <w:sz w:val="20"/>
                <w:szCs w:val="20"/>
              </w:rPr>
            </w:pPr>
            <w:r>
              <w:rPr>
                <w:rFonts w:hint="eastAsia" w:ascii="宋体" w:hAnsi="宋体" w:cs="宋体"/>
                <w:sz w:val="20"/>
                <w:szCs w:val="20"/>
              </w:rPr>
              <w:t>方案</w:t>
            </w:r>
          </w:p>
          <w:p w14:paraId="3BD61CCE">
            <w:pPr>
              <w:spacing w:line="360" w:lineRule="auto"/>
              <w:jc w:val="center"/>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01C30BDD">
            <w:pPr>
              <w:pStyle w:val="8"/>
              <w:spacing w:after="0" w:line="360" w:lineRule="auto"/>
              <w:jc w:val="left"/>
              <w:rPr>
                <w:rFonts w:hint="eastAsia" w:ascii="宋体" w:hAnsi="宋体" w:cs="宋体"/>
                <w:sz w:val="20"/>
                <w:szCs w:val="20"/>
              </w:rPr>
            </w:pPr>
            <w:r>
              <w:rPr>
                <w:rFonts w:hint="eastAsia" w:ascii="宋体" w:hAnsi="宋体" w:cs="宋体"/>
                <w:sz w:val="20"/>
                <w:szCs w:val="20"/>
              </w:rPr>
              <w:t>对供应商提供运维服务的计划、内容、形式，含免费维修时间、解决质量、响应时间、形式等情况进行评价：</w:t>
            </w:r>
          </w:p>
          <w:p w14:paraId="4946F6DA">
            <w:pPr>
              <w:spacing w:line="360" w:lineRule="auto"/>
              <w:jc w:val="left"/>
              <w:rPr>
                <w:rFonts w:hint="eastAsia" w:ascii="宋体" w:hAnsi="宋体" w:cs="宋体"/>
                <w:sz w:val="20"/>
                <w:szCs w:val="20"/>
              </w:rPr>
            </w:pPr>
            <w:r>
              <w:rPr>
                <w:rFonts w:hint="eastAsia" w:ascii="宋体" w:hAnsi="宋体" w:cs="宋体"/>
                <w:sz w:val="20"/>
                <w:szCs w:val="20"/>
              </w:rPr>
              <w:t>1.供应商运维服务方案体系完整、内容详实、逻辑清晰、架构完善。全面明确本项目免费维修质保服务周期、质保范围、质保服务承诺，服务边界清晰无漏洞。运维服务内容覆盖硬件维修更换、平台软件故障修复、系统优化、BUG修复、日常技术支持、质量问题溯源整改、定期巡检维保、培训回访等全维度内容。服务形式丰富健全，包含远程响应、现场处置、7×24小时技术值守、应急保障、专项回访机制等。明确细化各级故障响应时限、到场时限、问题办结时限、升级处理机制，针对智能化监管系统软硬件故障、数据异常、系统瘫痪、设备故障等本项目常见质量问题制定专属、可落地的处置流程与解决方案。整体服务计划贴合本项目实际运行特点，针对性极强、落地可行性高，能够全方位保障项目长期稳定运行的得10分；</w:t>
            </w:r>
          </w:p>
          <w:p w14:paraId="00D98B92">
            <w:pPr>
              <w:spacing w:line="360" w:lineRule="auto"/>
              <w:jc w:val="left"/>
              <w:rPr>
                <w:rFonts w:hint="eastAsia" w:ascii="宋体" w:hAnsi="宋体" w:cs="宋体"/>
                <w:sz w:val="20"/>
                <w:szCs w:val="20"/>
              </w:rPr>
            </w:pPr>
            <w:r>
              <w:rPr>
                <w:rFonts w:hint="eastAsia" w:ascii="宋体" w:hAnsi="宋体" w:cs="宋体"/>
                <w:sz w:val="20"/>
                <w:szCs w:val="20"/>
              </w:rPr>
              <w:t>2.供应商运维服务方案整体框架齐全、内容较为详实，免费维修质保时间、服务内容、服务方式、响应机制均有明确说明。具备完善的故障处理流程、质量问题整改机制和日常运维服务保障措施，整体合理可行。能够结合本项目软硬件运维特点制定对应的运维服务内容，针对性较好，可满足项目日常运维、故障维修、问题处置的全部服务需求。仅部分响应细节、特殊故障处置、专项维保细化内容不够深入，整体无缺项、无原则性偏差，运维服务保障能力良好的得7分；</w:t>
            </w:r>
          </w:p>
          <w:p w14:paraId="38368AB0">
            <w:pPr>
              <w:spacing w:line="360" w:lineRule="auto"/>
              <w:jc w:val="left"/>
              <w:rPr>
                <w:rFonts w:hint="eastAsia" w:ascii="宋体" w:hAnsi="宋体" w:cs="宋体"/>
                <w:sz w:val="20"/>
                <w:szCs w:val="20"/>
              </w:rPr>
            </w:pPr>
            <w:r>
              <w:rPr>
                <w:rFonts w:hint="eastAsia" w:ascii="宋体" w:hAnsi="宋体" w:cs="宋体"/>
                <w:sz w:val="20"/>
                <w:szCs w:val="20"/>
              </w:rPr>
              <w:t>3.供应商运维服务方案内容较为常规，多为行业通用服务模板，项目针对性较弱。虽明确基础免费维保时间、基本服务内容和简单响应方式，具备基础运维服务流程，整体基本可行。但服务内容笼统、服务形式单一，未细化分级故障响应时效、质量问题专项整改措施，缺少定期巡检、主动维保、应急保障等增值服务内容。仅能满足项目最基础、最低限度的售后维修需求，服务体系不完善、保障力度一般的得5分；</w:t>
            </w:r>
          </w:p>
          <w:p w14:paraId="3DD73957">
            <w:pPr>
              <w:spacing w:line="360" w:lineRule="auto"/>
              <w:jc w:val="left"/>
              <w:rPr>
                <w:rFonts w:hint="eastAsia" w:ascii="宋体" w:hAnsi="宋体" w:cs="宋体"/>
                <w:sz w:val="20"/>
                <w:szCs w:val="20"/>
              </w:rPr>
            </w:pPr>
            <w:r>
              <w:rPr>
                <w:rFonts w:hint="eastAsia" w:ascii="宋体" w:hAnsi="宋体" w:cs="宋体"/>
                <w:sz w:val="20"/>
                <w:szCs w:val="20"/>
              </w:rPr>
              <w:t>4.供应商运维服务方案编制质量差，内容简略、表述模糊，对免费维修运维服务期限、服务范围、响应时间、处置方式等关键内容界定不清或存在表述偏差。运维服务流程混乱、故障处理机制不健全，未针对本项目软硬件质量问题制定有效解决措施。服务形式单一空洞，无明确的服务保障机制，整体可行性差、落地性弱，无法有效支撑项目后期运维售后保障工作的得3分；</w:t>
            </w:r>
          </w:p>
          <w:p w14:paraId="393BB233">
            <w:pPr>
              <w:spacing w:line="360" w:lineRule="auto"/>
              <w:rPr>
                <w:rFonts w:hint="eastAsia" w:ascii="宋体" w:hAnsi="宋体" w:cs="宋体"/>
                <w:sz w:val="20"/>
                <w:szCs w:val="20"/>
              </w:rPr>
            </w:pPr>
            <w:r>
              <w:rPr>
                <w:rFonts w:hint="eastAsia" w:ascii="宋体" w:hAnsi="宋体" w:cs="宋体"/>
                <w:sz w:val="20"/>
                <w:szCs w:val="20"/>
              </w:rPr>
              <w:t>缺项不得分。</w:t>
            </w:r>
          </w:p>
        </w:tc>
      </w:tr>
      <w:tr w14:paraId="17C1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843" w:type="dxa"/>
            <w:vMerge w:val="continue"/>
            <w:vAlign w:val="center"/>
          </w:tcPr>
          <w:p w14:paraId="79FE2F1D">
            <w:pPr>
              <w:spacing w:line="360" w:lineRule="auto"/>
              <w:jc w:val="center"/>
              <w:rPr>
                <w:rFonts w:hint="eastAsia" w:ascii="宋体" w:hAnsi="宋体" w:cs="宋体"/>
                <w:b/>
                <w:bCs/>
                <w:sz w:val="24"/>
              </w:rPr>
            </w:pPr>
          </w:p>
        </w:tc>
        <w:tc>
          <w:tcPr>
            <w:tcW w:w="1091" w:type="dxa"/>
            <w:gridSpan w:val="2"/>
            <w:vMerge w:val="continue"/>
            <w:vAlign w:val="center"/>
          </w:tcPr>
          <w:p w14:paraId="6201E51D">
            <w:pPr>
              <w:spacing w:line="360" w:lineRule="auto"/>
              <w:jc w:val="center"/>
              <w:rPr>
                <w:rFonts w:hint="eastAsia" w:ascii="宋体" w:hAnsi="宋体" w:cs="宋体"/>
                <w:b/>
                <w:bCs/>
                <w:sz w:val="24"/>
              </w:rPr>
            </w:pPr>
          </w:p>
        </w:tc>
        <w:tc>
          <w:tcPr>
            <w:tcW w:w="1230" w:type="dxa"/>
            <w:gridSpan w:val="2"/>
            <w:vAlign w:val="center"/>
          </w:tcPr>
          <w:p w14:paraId="1595A3E5">
            <w:pPr>
              <w:spacing w:line="360" w:lineRule="auto"/>
              <w:jc w:val="left"/>
              <w:rPr>
                <w:rFonts w:hint="eastAsia" w:ascii="宋体" w:hAnsi="宋体" w:cs="宋体"/>
                <w:sz w:val="20"/>
                <w:szCs w:val="20"/>
              </w:rPr>
            </w:pPr>
            <w:r>
              <w:rPr>
                <w:rFonts w:hint="eastAsia" w:ascii="宋体" w:hAnsi="宋体" w:cs="宋体"/>
                <w:sz w:val="20"/>
                <w:szCs w:val="20"/>
              </w:rPr>
              <w:t>服务承诺</w:t>
            </w:r>
          </w:p>
          <w:p w14:paraId="4CDCCFAB">
            <w:pPr>
              <w:spacing w:line="360" w:lineRule="auto"/>
              <w:jc w:val="left"/>
              <w:rPr>
                <w:rFonts w:hint="eastAsia" w:ascii="宋体" w:hAnsi="宋体" w:cs="宋体"/>
                <w:sz w:val="20"/>
                <w:szCs w:val="20"/>
              </w:rPr>
            </w:pPr>
            <w:r>
              <w:rPr>
                <w:rFonts w:hint="eastAsia" w:ascii="宋体" w:hAnsi="宋体" w:cs="宋体"/>
                <w:sz w:val="20"/>
                <w:szCs w:val="20"/>
              </w:rPr>
              <w:t>（10分）</w:t>
            </w:r>
          </w:p>
        </w:tc>
        <w:tc>
          <w:tcPr>
            <w:tcW w:w="6742" w:type="dxa"/>
            <w:gridSpan w:val="3"/>
            <w:vAlign w:val="center"/>
          </w:tcPr>
          <w:p w14:paraId="339C231F">
            <w:pPr>
              <w:spacing w:line="360" w:lineRule="auto"/>
              <w:jc w:val="left"/>
              <w:rPr>
                <w:rFonts w:hint="eastAsia" w:ascii="宋体" w:hAnsi="宋体" w:cs="宋体"/>
                <w:sz w:val="20"/>
                <w:szCs w:val="20"/>
              </w:rPr>
            </w:pPr>
            <w:r>
              <w:rPr>
                <w:rFonts w:hint="eastAsia" w:ascii="宋体" w:hAnsi="宋体" w:cs="宋体"/>
                <w:sz w:val="20"/>
                <w:szCs w:val="20"/>
              </w:rPr>
              <w:t>根据供应商提供的包括但不仅限于运维服务期内的服务承诺，其他优惠条件及承诺，如免费提供工具，增加配套附件数量，零配件价格折扣等进行进行打分。</w:t>
            </w:r>
          </w:p>
          <w:p w14:paraId="00C77D40">
            <w:pPr>
              <w:spacing w:line="360" w:lineRule="auto"/>
              <w:jc w:val="left"/>
              <w:rPr>
                <w:rFonts w:hint="eastAsia" w:ascii="宋体" w:hAnsi="宋体" w:cs="宋体"/>
                <w:sz w:val="20"/>
                <w:szCs w:val="20"/>
              </w:rPr>
            </w:pPr>
            <w:r>
              <w:rPr>
                <w:rFonts w:hint="eastAsia" w:ascii="宋体" w:hAnsi="宋体" w:cs="宋体"/>
                <w:sz w:val="20"/>
                <w:szCs w:val="20"/>
              </w:rPr>
              <w:t>1.供应商运维服务期内各项服务承诺全面完整、条款详实、清晰规范。针对本项目智能化系统软硬件设备，提供完善、高于常规标准的质保服务承诺，服务条款细化、边界清晰、落地性极强。同时提供丰富的专项增值优惠条件，包含免费配套工具、增补配套附件、备用零配件补给、后期零配件专属折扣、免费系统升级、免费巡检优化、专属技术帮扶等多项实质性优惠内容。所有承诺均贴合本项目设备型号、系统架构及后期运维实际需求，针对性极强、公开透明、可落地、可兑现，无虚标、无模糊表述，能够极大提升项目后期运维保障能力的得10分；</w:t>
            </w:r>
          </w:p>
          <w:p w14:paraId="2B1B225C">
            <w:pPr>
              <w:spacing w:line="360" w:lineRule="auto"/>
              <w:jc w:val="left"/>
              <w:rPr>
                <w:rFonts w:hint="eastAsia" w:ascii="宋体" w:hAnsi="宋体" w:cs="宋体"/>
                <w:sz w:val="20"/>
                <w:szCs w:val="20"/>
              </w:rPr>
            </w:pPr>
            <w:r>
              <w:rPr>
                <w:rFonts w:hint="eastAsia" w:ascii="宋体" w:hAnsi="宋体" w:cs="宋体"/>
                <w:sz w:val="20"/>
                <w:szCs w:val="20"/>
              </w:rPr>
              <w:t>2.供应商运维服务期服务承诺内容较为完整、条款清晰、规范合理，基本覆盖运维服务期内各项服务保障内容。具备一定的增值服务及优惠条件，包含免费工具、配套附件、零配件优惠等相关承诺，内容较为详实、具备可行性。承诺内容贴合本项目建设及运维需求，具备较好的项目针对性。整体优惠及服务保障体系较为完善，仅部分增值优惠内容不够丰富、细化程度略有不足，无虚假承诺、无原则偏差，可有效保障项目后期运维工作的得7分；</w:t>
            </w:r>
          </w:p>
          <w:p w14:paraId="494E4F1E">
            <w:pPr>
              <w:spacing w:line="360" w:lineRule="auto"/>
              <w:jc w:val="left"/>
              <w:rPr>
                <w:rFonts w:hint="eastAsia" w:ascii="宋体" w:hAnsi="宋体" w:cs="宋体"/>
                <w:sz w:val="20"/>
                <w:szCs w:val="20"/>
              </w:rPr>
            </w:pPr>
            <w:r>
              <w:rPr>
                <w:rFonts w:hint="eastAsia" w:ascii="宋体" w:hAnsi="宋体" w:cs="宋体"/>
                <w:sz w:val="20"/>
                <w:szCs w:val="20"/>
              </w:rPr>
              <w:t>3.供应商仅提供行业常规、通用性质保服务承诺，整体内容较为普通、通用化程度高。仅包含基础质保服务内容，增值优惠、免费工具、配套附件、零配件折扣等优惠条件较少或仅简单提及，无细化、无量化标准。承诺内容基本合规、基本可行，但针对性较弱，未结合本项目智能化设备、平台运维特点提供专属优惠及保障，额外增值保障力度有限的得5分；</w:t>
            </w:r>
          </w:p>
          <w:p w14:paraId="098EEF0F">
            <w:pPr>
              <w:spacing w:line="360" w:lineRule="auto"/>
              <w:jc w:val="left"/>
              <w:rPr>
                <w:rFonts w:hint="eastAsia" w:ascii="宋体" w:hAnsi="宋体" w:cs="宋体"/>
                <w:sz w:val="20"/>
                <w:szCs w:val="20"/>
              </w:rPr>
            </w:pPr>
            <w:r>
              <w:rPr>
                <w:rFonts w:hint="eastAsia" w:ascii="宋体" w:hAnsi="宋体" w:cs="宋体"/>
                <w:sz w:val="20"/>
                <w:szCs w:val="20"/>
              </w:rPr>
              <w:t>4.供应商服务承诺内容简单、空洞、条款模糊，运维服务期服务内容界定不清。无实质性增值优惠条件，未提供免费工具、配套附件、零配件价格折扣等相关优惠内容。部分承诺表述笼统、存在模糊性，兑现可行性差，与本项目实际运维需求贴合度低，实质性保障价值不足的得3分；</w:t>
            </w:r>
          </w:p>
          <w:p w14:paraId="51EB2235">
            <w:pPr>
              <w:spacing w:line="360" w:lineRule="auto"/>
              <w:jc w:val="left"/>
              <w:rPr>
                <w:rFonts w:hint="eastAsia" w:ascii="宋体" w:hAnsi="宋体" w:cs="宋体"/>
                <w:sz w:val="20"/>
                <w:szCs w:val="20"/>
              </w:rPr>
            </w:pPr>
            <w:r>
              <w:rPr>
                <w:rFonts w:hint="eastAsia" w:ascii="宋体" w:hAnsi="宋体" w:cs="宋体"/>
                <w:sz w:val="20"/>
                <w:szCs w:val="20"/>
              </w:rPr>
              <w:t>缺项不得分。</w:t>
            </w:r>
          </w:p>
        </w:tc>
      </w:tr>
    </w:tbl>
    <w:p w14:paraId="2FE3B2CD">
      <w:pPr>
        <w:spacing w:line="360" w:lineRule="auto"/>
        <w:ind w:firstLine="422" w:firstLineChars="200"/>
        <w:outlineLvl w:val="1"/>
        <w:rPr>
          <w:rFonts w:hint="eastAsia" w:ascii="宋体" w:hAnsi="宋体" w:cs="宋体"/>
          <w:b/>
          <w:szCs w:val="21"/>
        </w:rPr>
      </w:pPr>
      <w:r>
        <w:rPr>
          <w:rFonts w:hint="eastAsia" w:ascii="宋体" w:hAnsi="宋体" w:cs="宋体"/>
          <w:b/>
          <w:szCs w:val="21"/>
        </w:rPr>
        <w:t>1. 评标方法</w:t>
      </w:r>
      <w:bookmarkEnd w:id="198"/>
      <w:bookmarkEnd w:id="199"/>
      <w:bookmarkEnd w:id="200"/>
      <w:bookmarkEnd w:id="201"/>
      <w:bookmarkEnd w:id="202"/>
    </w:p>
    <w:p w14:paraId="41286425">
      <w:pPr>
        <w:spacing w:line="360" w:lineRule="auto"/>
        <w:ind w:firstLine="420" w:firstLineChars="200"/>
        <w:rPr>
          <w:rFonts w:hint="eastAsia" w:ascii="宋体" w:hAnsi="宋体" w:cs="宋体"/>
          <w:szCs w:val="21"/>
        </w:rPr>
      </w:pPr>
      <w:r>
        <w:rPr>
          <w:rFonts w:hint="eastAsia" w:ascii="宋体" w:hAnsi="宋体" w:cs="宋体"/>
          <w:szCs w:val="21"/>
        </w:rPr>
        <w:t>本次评标采用综合评估法。评标委员会对满足招标文件实质性要求的投标文件，按照本章有关款规定的评分标准进行打分，并按得分由高到低顺序推荐中标候选人，或根据采购人授权直接确定中标人，但投标总报价低于其成本的除外。综合评分相等时，以投标总报价低的优先；投标报价也相等的，由采购人自行确定。</w:t>
      </w:r>
    </w:p>
    <w:p w14:paraId="65F53417">
      <w:pPr>
        <w:spacing w:line="360" w:lineRule="auto"/>
        <w:ind w:firstLine="422" w:firstLineChars="200"/>
        <w:outlineLvl w:val="1"/>
        <w:rPr>
          <w:rFonts w:hint="eastAsia" w:ascii="宋体" w:hAnsi="宋体" w:cs="宋体"/>
          <w:b/>
          <w:szCs w:val="21"/>
        </w:rPr>
      </w:pPr>
      <w:bookmarkStart w:id="204" w:name="_Toc152042378"/>
      <w:bookmarkStart w:id="205" w:name="_Toc152045601"/>
      <w:bookmarkStart w:id="206" w:name="_Toc179632619"/>
      <w:bookmarkStart w:id="207" w:name="_Toc144974568"/>
      <w:bookmarkStart w:id="208" w:name="_Toc358873696"/>
      <w:r>
        <w:rPr>
          <w:rFonts w:hint="eastAsia" w:ascii="宋体" w:hAnsi="宋体" w:cs="宋体"/>
          <w:b/>
          <w:szCs w:val="21"/>
        </w:rPr>
        <w:t>2. 评审标准</w:t>
      </w:r>
      <w:bookmarkEnd w:id="204"/>
      <w:bookmarkEnd w:id="205"/>
      <w:bookmarkEnd w:id="206"/>
      <w:bookmarkEnd w:id="207"/>
      <w:bookmarkEnd w:id="208"/>
    </w:p>
    <w:p w14:paraId="1617F60F">
      <w:pPr>
        <w:spacing w:line="360" w:lineRule="auto"/>
        <w:ind w:firstLine="422" w:firstLineChars="200"/>
        <w:outlineLvl w:val="2"/>
        <w:rPr>
          <w:rFonts w:hint="eastAsia" w:ascii="宋体" w:hAnsi="宋体" w:cs="宋体"/>
          <w:b/>
          <w:szCs w:val="21"/>
        </w:rPr>
      </w:pPr>
      <w:bookmarkStart w:id="209" w:name="_Toc179632620"/>
      <w:bookmarkStart w:id="210" w:name="_Toc152045602"/>
      <w:bookmarkStart w:id="211" w:name="_Toc152042379"/>
      <w:bookmarkStart w:id="212" w:name="_Toc144974569"/>
      <w:bookmarkStart w:id="213" w:name="_Toc358873697"/>
      <w:r>
        <w:rPr>
          <w:rFonts w:hint="eastAsia" w:ascii="宋体" w:hAnsi="宋体" w:cs="宋体"/>
          <w:b/>
          <w:szCs w:val="21"/>
        </w:rPr>
        <w:t>2.1 初步评审标准</w:t>
      </w:r>
      <w:bookmarkEnd w:id="209"/>
      <w:bookmarkEnd w:id="210"/>
      <w:bookmarkEnd w:id="211"/>
      <w:bookmarkEnd w:id="212"/>
      <w:bookmarkEnd w:id="213"/>
    </w:p>
    <w:p w14:paraId="102A10AF">
      <w:pPr>
        <w:spacing w:line="360" w:lineRule="auto"/>
        <w:ind w:firstLine="420" w:firstLineChars="200"/>
        <w:rPr>
          <w:rFonts w:hint="eastAsia" w:ascii="宋体" w:hAnsi="宋体" w:cs="宋体"/>
          <w:szCs w:val="21"/>
        </w:rPr>
      </w:pPr>
      <w:r>
        <w:rPr>
          <w:rFonts w:hint="eastAsia" w:ascii="宋体" w:hAnsi="宋体" w:cs="宋体"/>
          <w:szCs w:val="21"/>
        </w:rPr>
        <w:t>2.1.1 形式评审标准：见评标办法前附表。</w:t>
      </w:r>
    </w:p>
    <w:p w14:paraId="3A3070C7">
      <w:pPr>
        <w:spacing w:line="360" w:lineRule="auto"/>
        <w:ind w:firstLine="420" w:firstLineChars="200"/>
        <w:rPr>
          <w:rFonts w:hint="eastAsia" w:ascii="宋体" w:hAnsi="宋体" w:cs="宋体"/>
          <w:szCs w:val="21"/>
        </w:rPr>
      </w:pPr>
      <w:r>
        <w:rPr>
          <w:rFonts w:hint="eastAsia" w:ascii="宋体" w:hAnsi="宋体" w:cs="宋体"/>
          <w:szCs w:val="21"/>
        </w:rPr>
        <w:t>2.1.2 资格评审标准：见评标办法前附表。</w:t>
      </w:r>
    </w:p>
    <w:p w14:paraId="2817DDC5">
      <w:pPr>
        <w:spacing w:line="360" w:lineRule="auto"/>
        <w:ind w:firstLine="420" w:firstLineChars="200"/>
        <w:rPr>
          <w:rFonts w:hint="eastAsia" w:ascii="宋体" w:hAnsi="宋体" w:cs="宋体"/>
          <w:szCs w:val="21"/>
        </w:rPr>
      </w:pPr>
      <w:r>
        <w:rPr>
          <w:rFonts w:hint="eastAsia" w:ascii="宋体" w:hAnsi="宋体" w:cs="宋体"/>
          <w:szCs w:val="21"/>
        </w:rPr>
        <w:t>2.1.3响应性评审标准：见评标办法前附表。</w:t>
      </w:r>
    </w:p>
    <w:p w14:paraId="15D13E76">
      <w:pPr>
        <w:spacing w:line="360" w:lineRule="auto"/>
        <w:ind w:firstLine="422" w:firstLineChars="200"/>
        <w:outlineLvl w:val="2"/>
        <w:rPr>
          <w:rFonts w:hint="eastAsia" w:ascii="宋体" w:hAnsi="宋体" w:cs="宋体"/>
          <w:b/>
          <w:szCs w:val="21"/>
        </w:rPr>
      </w:pPr>
      <w:bookmarkStart w:id="214" w:name="_Toc152045603"/>
      <w:bookmarkStart w:id="215" w:name="_Toc152042380"/>
      <w:bookmarkStart w:id="216" w:name="_Toc358873698"/>
      <w:bookmarkStart w:id="217" w:name="_Toc144974570"/>
      <w:bookmarkStart w:id="218" w:name="_Toc179632621"/>
      <w:r>
        <w:rPr>
          <w:rFonts w:hint="eastAsia" w:ascii="宋体" w:hAnsi="宋体" w:cs="宋体"/>
          <w:b/>
          <w:szCs w:val="21"/>
        </w:rPr>
        <w:t>2.2 分值构成与评分标准</w:t>
      </w:r>
      <w:bookmarkEnd w:id="214"/>
      <w:bookmarkEnd w:id="215"/>
      <w:bookmarkEnd w:id="216"/>
      <w:bookmarkEnd w:id="217"/>
      <w:bookmarkEnd w:id="218"/>
    </w:p>
    <w:p w14:paraId="7B6E0179">
      <w:pPr>
        <w:spacing w:line="360" w:lineRule="auto"/>
        <w:ind w:firstLine="420" w:firstLineChars="200"/>
        <w:rPr>
          <w:rFonts w:hint="eastAsia" w:ascii="宋体" w:hAnsi="宋体" w:cs="宋体"/>
          <w:szCs w:val="21"/>
        </w:rPr>
      </w:pPr>
      <w:r>
        <w:rPr>
          <w:rFonts w:hint="eastAsia" w:ascii="宋体" w:hAnsi="宋体" w:cs="宋体"/>
          <w:szCs w:val="21"/>
        </w:rPr>
        <w:t>2.2.1 分值构成</w:t>
      </w:r>
    </w:p>
    <w:p w14:paraId="343E5002">
      <w:pPr>
        <w:spacing w:line="360" w:lineRule="auto"/>
        <w:ind w:firstLine="420" w:firstLineChars="200"/>
        <w:rPr>
          <w:rFonts w:hint="eastAsia" w:ascii="宋体" w:hAnsi="宋体" w:cs="宋体"/>
          <w:szCs w:val="21"/>
        </w:rPr>
      </w:pPr>
      <w:r>
        <w:rPr>
          <w:rFonts w:hint="eastAsia" w:ascii="宋体" w:hAnsi="宋体" w:cs="宋体"/>
          <w:szCs w:val="21"/>
        </w:rPr>
        <w:t>（1）技术标：见评标办法前附表；</w:t>
      </w:r>
    </w:p>
    <w:p w14:paraId="7CF9570A">
      <w:pPr>
        <w:spacing w:line="360" w:lineRule="auto"/>
        <w:ind w:firstLine="420" w:firstLineChars="200"/>
        <w:rPr>
          <w:rFonts w:hint="eastAsia" w:ascii="宋体" w:hAnsi="宋体" w:cs="宋体"/>
          <w:szCs w:val="21"/>
        </w:rPr>
      </w:pPr>
      <w:r>
        <w:rPr>
          <w:rFonts w:hint="eastAsia" w:ascii="宋体" w:hAnsi="宋体" w:cs="宋体"/>
          <w:szCs w:val="21"/>
        </w:rPr>
        <w:t>（2）综合标：见评标办法前附表；</w:t>
      </w:r>
    </w:p>
    <w:p w14:paraId="6CAC3CF1">
      <w:pPr>
        <w:spacing w:line="360" w:lineRule="auto"/>
        <w:ind w:firstLine="420" w:firstLineChars="200"/>
        <w:rPr>
          <w:rFonts w:hint="eastAsia" w:ascii="宋体" w:hAnsi="宋体" w:cs="宋体"/>
          <w:szCs w:val="21"/>
        </w:rPr>
      </w:pPr>
      <w:r>
        <w:rPr>
          <w:rFonts w:hint="eastAsia" w:ascii="宋体" w:hAnsi="宋体" w:cs="宋体"/>
          <w:szCs w:val="21"/>
        </w:rPr>
        <w:t>（3）商务标：见评标办法前附表；</w:t>
      </w:r>
    </w:p>
    <w:p w14:paraId="5FADB96F">
      <w:pPr>
        <w:spacing w:line="360" w:lineRule="auto"/>
        <w:ind w:firstLine="420" w:firstLineChars="200"/>
        <w:rPr>
          <w:rFonts w:hint="eastAsia" w:ascii="宋体" w:hAnsi="宋体" w:cs="宋体"/>
          <w:szCs w:val="21"/>
        </w:rPr>
      </w:pPr>
      <w:r>
        <w:rPr>
          <w:rFonts w:hint="eastAsia" w:ascii="宋体" w:hAnsi="宋体" w:cs="宋体"/>
          <w:szCs w:val="21"/>
        </w:rPr>
        <w:t>2.2.2 评标基准价计算</w:t>
      </w:r>
    </w:p>
    <w:p w14:paraId="7B8DE7AC">
      <w:pPr>
        <w:spacing w:line="360" w:lineRule="auto"/>
        <w:ind w:firstLine="420" w:firstLineChars="200"/>
        <w:rPr>
          <w:rFonts w:hint="eastAsia" w:ascii="宋体" w:hAnsi="宋体" w:cs="宋体"/>
          <w:szCs w:val="21"/>
        </w:rPr>
      </w:pPr>
      <w:r>
        <w:rPr>
          <w:rFonts w:hint="eastAsia" w:ascii="宋体" w:hAnsi="宋体" w:cs="宋体"/>
          <w:szCs w:val="21"/>
        </w:rPr>
        <w:t>评标基准价计算方法：见评标办法前附表。</w:t>
      </w:r>
    </w:p>
    <w:p w14:paraId="3E31D0DB">
      <w:pPr>
        <w:spacing w:line="360" w:lineRule="auto"/>
        <w:ind w:firstLine="420" w:firstLineChars="200"/>
        <w:rPr>
          <w:rFonts w:hint="eastAsia" w:ascii="宋体" w:hAnsi="宋体" w:cs="宋体"/>
          <w:szCs w:val="21"/>
        </w:rPr>
      </w:pPr>
      <w:r>
        <w:rPr>
          <w:rFonts w:hint="eastAsia" w:ascii="宋体" w:hAnsi="宋体" w:cs="宋体"/>
          <w:szCs w:val="21"/>
        </w:rPr>
        <w:t>2.2.3 评分标准</w:t>
      </w:r>
    </w:p>
    <w:p w14:paraId="7E94805E">
      <w:pPr>
        <w:spacing w:line="360" w:lineRule="auto"/>
        <w:ind w:firstLine="420" w:firstLineChars="200"/>
        <w:rPr>
          <w:rFonts w:hint="eastAsia" w:ascii="宋体" w:hAnsi="宋体" w:cs="宋体"/>
          <w:szCs w:val="21"/>
        </w:rPr>
      </w:pPr>
      <w:r>
        <w:rPr>
          <w:rFonts w:hint="eastAsia" w:ascii="宋体" w:hAnsi="宋体" w:cs="宋体"/>
          <w:szCs w:val="21"/>
        </w:rPr>
        <w:t>（1）技术标评分标准：见评标办法前附表；</w:t>
      </w:r>
    </w:p>
    <w:p w14:paraId="388C29B3">
      <w:pPr>
        <w:spacing w:line="360" w:lineRule="auto"/>
        <w:ind w:firstLine="420" w:firstLineChars="200"/>
        <w:rPr>
          <w:rFonts w:hint="eastAsia" w:ascii="宋体" w:hAnsi="宋体" w:cs="宋体"/>
          <w:szCs w:val="21"/>
        </w:rPr>
      </w:pPr>
      <w:r>
        <w:rPr>
          <w:rFonts w:hint="eastAsia" w:ascii="宋体" w:hAnsi="宋体" w:cs="宋体"/>
          <w:szCs w:val="21"/>
        </w:rPr>
        <w:t>（2）综合标评分标准：见评标办法前附表；</w:t>
      </w:r>
    </w:p>
    <w:p w14:paraId="6EE902E2">
      <w:pPr>
        <w:spacing w:line="360" w:lineRule="auto"/>
        <w:ind w:firstLine="420" w:firstLineChars="200"/>
        <w:rPr>
          <w:rFonts w:hint="eastAsia" w:ascii="宋体" w:hAnsi="宋体" w:cs="宋体"/>
          <w:szCs w:val="21"/>
        </w:rPr>
      </w:pPr>
      <w:r>
        <w:rPr>
          <w:rFonts w:hint="eastAsia" w:ascii="宋体" w:hAnsi="宋体" w:cs="宋体"/>
          <w:szCs w:val="21"/>
        </w:rPr>
        <w:t>（3）商务标评分标准：见评标办法前附表；</w:t>
      </w:r>
    </w:p>
    <w:p w14:paraId="6F239080">
      <w:pPr>
        <w:spacing w:line="360" w:lineRule="auto"/>
        <w:ind w:left="420" w:firstLine="2"/>
        <w:outlineLvl w:val="1"/>
        <w:rPr>
          <w:rFonts w:hint="eastAsia" w:ascii="宋体" w:hAnsi="宋体" w:cs="宋体"/>
          <w:b/>
          <w:szCs w:val="21"/>
        </w:rPr>
      </w:pPr>
      <w:bookmarkStart w:id="219" w:name="_Toc152042381"/>
      <w:bookmarkStart w:id="220" w:name="_Toc144974571"/>
      <w:bookmarkStart w:id="221" w:name="_Toc358873699"/>
      <w:bookmarkStart w:id="222" w:name="_Toc152045604"/>
      <w:bookmarkStart w:id="223" w:name="_Toc179632622"/>
      <w:r>
        <w:rPr>
          <w:rFonts w:hint="eastAsia" w:ascii="宋体" w:hAnsi="宋体" w:cs="宋体"/>
          <w:b/>
          <w:szCs w:val="21"/>
        </w:rPr>
        <w:t>3. 评标程序</w:t>
      </w:r>
      <w:bookmarkEnd w:id="219"/>
      <w:bookmarkEnd w:id="220"/>
      <w:bookmarkEnd w:id="221"/>
      <w:bookmarkEnd w:id="222"/>
      <w:bookmarkEnd w:id="223"/>
    </w:p>
    <w:p w14:paraId="2C997F32">
      <w:pPr>
        <w:spacing w:line="360" w:lineRule="auto"/>
        <w:ind w:firstLine="422" w:firstLineChars="200"/>
        <w:outlineLvl w:val="2"/>
        <w:rPr>
          <w:rFonts w:hint="eastAsia" w:ascii="宋体" w:hAnsi="宋体" w:cs="宋体"/>
          <w:b/>
          <w:szCs w:val="21"/>
        </w:rPr>
      </w:pPr>
      <w:bookmarkStart w:id="224" w:name="_Toc179632623"/>
      <w:bookmarkStart w:id="225" w:name="_Toc144974572"/>
      <w:bookmarkStart w:id="226" w:name="_Toc152042382"/>
      <w:bookmarkStart w:id="227" w:name="_Toc152045605"/>
      <w:bookmarkStart w:id="228" w:name="_Toc358873700"/>
      <w:r>
        <w:rPr>
          <w:rFonts w:hint="eastAsia" w:ascii="宋体" w:hAnsi="宋体" w:cs="宋体"/>
          <w:b/>
          <w:szCs w:val="21"/>
        </w:rPr>
        <w:t>3.1 初步评审</w:t>
      </w:r>
      <w:bookmarkEnd w:id="224"/>
      <w:bookmarkEnd w:id="225"/>
      <w:bookmarkEnd w:id="226"/>
      <w:bookmarkEnd w:id="227"/>
      <w:bookmarkEnd w:id="228"/>
    </w:p>
    <w:p w14:paraId="2CB8D6B5">
      <w:pPr>
        <w:spacing w:line="360" w:lineRule="auto"/>
        <w:ind w:firstLine="420" w:firstLineChars="200"/>
        <w:rPr>
          <w:rFonts w:hint="eastAsia" w:ascii="宋体" w:hAnsi="宋体" w:cs="宋体"/>
          <w:szCs w:val="21"/>
        </w:rPr>
      </w:pPr>
      <w:r>
        <w:rPr>
          <w:rFonts w:hint="eastAsia" w:ascii="宋体" w:hAnsi="宋体" w:cs="宋体"/>
          <w:szCs w:val="21"/>
        </w:rPr>
        <w:t>3.1.1 评标委员会依据本章第2.1款规定的标准对投标文件进行初步评审。有一项不符合评审标准的，作无效标处理。</w:t>
      </w:r>
    </w:p>
    <w:p w14:paraId="6D7F8C43">
      <w:pPr>
        <w:spacing w:line="360" w:lineRule="auto"/>
        <w:ind w:firstLine="420" w:firstLineChars="200"/>
        <w:rPr>
          <w:rFonts w:hint="eastAsia" w:ascii="宋体" w:hAnsi="宋体" w:cs="宋体"/>
          <w:szCs w:val="21"/>
        </w:rPr>
      </w:pPr>
      <w:r>
        <w:rPr>
          <w:rFonts w:hint="eastAsia" w:ascii="宋体" w:hAnsi="宋体" w:cs="宋体"/>
          <w:szCs w:val="21"/>
        </w:rPr>
        <w:t>3.1.2 投标人有以下情形之一的，其投标作无效标处理：</w:t>
      </w:r>
    </w:p>
    <w:p w14:paraId="18651BDC">
      <w:pPr>
        <w:spacing w:line="360" w:lineRule="auto"/>
        <w:ind w:firstLine="420" w:firstLineChars="200"/>
        <w:rPr>
          <w:rFonts w:hint="eastAsia" w:ascii="宋体" w:hAnsi="宋体" w:cs="宋体"/>
          <w:szCs w:val="21"/>
        </w:rPr>
      </w:pPr>
      <w:r>
        <w:rPr>
          <w:rFonts w:hint="eastAsia" w:ascii="宋体" w:hAnsi="宋体" w:cs="宋体"/>
          <w:szCs w:val="21"/>
        </w:rPr>
        <w:t>（1）第二章“投标人须知”第1.4.3项规定的任何一种情形的；</w:t>
      </w:r>
    </w:p>
    <w:p w14:paraId="01168A8C">
      <w:pPr>
        <w:spacing w:line="360" w:lineRule="auto"/>
        <w:ind w:firstLine="420" w:firstLineChars="200"/>
        <w:rPr>
          <w:rFonts w:hint="eastAsia" w:ascii="宋体" w:hAnsi="宋体" w:cs="宋体"/>
          <w:szCs w:val="21"/>
        </w:rPr>
      </w:pPr>
      <w:r>
        <w:rPr>
          <w:rFonts w:hint="eastAsia" w:ascii="宋体" w:hAnsi="宋体" w:cs="宋体"/>
          <w:szCs w:val="21"/>
        </w:rPr>
        <w:t>（2）串通投标或弄虚作假或有其他违法行为的；</w:t>
      </w:r>
    </w:p>
    <w:p w14:paraId="59499220">
      <w:pPr>
        <w:spacing w:line="360" w:lineRule="auto"/>
        <w:ind w:firstLine="420" w:firstLineChars="200"/>
        <w:rPr>
          <w:rFonts w:hint="eastAsia" w:ascii="宋体" w:hAnsi="宋体" w:cs="宋体"/>
          <w:szCs w:val="21"/>
        </w:rPr>
      </w:pPr>
      <w:r>
        <w:rPr>
          <w:rFonts w:hint="eastAsia" w:ascii="宋体" w:hAnsi="宋体" w:cs="宋体"/>
          <w:szCs w:val="21"/>
        </w:rPr>
        <w:t>（3）不按评标委员会要求澄清、说明或补正的。</w:t>
      </w:r>
    </w:p>
    <w:p w14:paraId="3AB46243">
      <w:pPr>
        <w:spacing w:line="360" w:lineRule="auto"/>
        <w:ind w:firstLine="420" w:firstLineChars="200"/>
        <w:rPr>
          <w:rFonts w:hint="eastAsia" w:ascii="宋体" w:hAnsi="宋体" w:cs="宋体"/>
          <w:szCs w:val="21"/>
        </w:rPr>
      </w:pPr>
      <w:r>
        <w:rPr>
          <w:rFonts w:hint="eastAsia" w:ascii="宋体" w:hAnsi="宋体" w:cs="宋体"/>
          <w:szCs w:val="21"/>
        </w:rPr>
        <w:t>3.1.3投标报价有算术错误的，评标委员会按以下原则对投标报价进行修正，修正的价格经投标人书面确认后具有约束力。投标人不接受修正价格的，其投标作无效标处理。</w:t>
      </w:r>
    </w:p>
    <w:p w14:paraId="00537530">
      <w:pPr>
        <w:spacing w:line="360" w:lineRule="auto"/>
        <w:ind w:firstLine="420" w:firstLineChars="200"/>
        <w:rPr>
          <w:rFonts w:hint="eastAsia" w:ascii="宋体" w:hAnsi="宋体" w:cs="宋体"/>
          <w:szCs w:val="21"/>
        </w:rPr>
      </w:pPr>
      <w:bookmarkStart w:id="229" w:name="_Toc152042383"/>
      <w:r>
        <w:rPr>
          <w:rFonts w:hint="eastAsia" w:ascii="宋体" w:hAnsi="宋体" w:cs="宋体"/>
          <w:szCs w:val="21"/>
        </w:rPr>
        <w:t>（1）投标文件中的大写金额与小写金额不一致的，以大写金额为准；</w:t>
      </w:r>
      <w:bookmarkEnd w:id="229"/>
    </w:p>
    <w:p w14:paraId="4D31F536">
      <w:pPr>
        <w:spacing w:line="360" w:lineRule="auto"/>
        <w:ind w:firstLine="420" w:firstLineChars="200"/>
        <w:rPr>
          <w:rFonts w:hint="eastAsia" w:ascii="宋体" w:hAnsi="宋体" w:cs="宋体"/>
          <w:szCs w:val="21"/>
        </w:rPr>
      </w:pPr>
      <w:r>
        <w:rPr>
          <w:rFonts w:hint="eastAsia" w:ascii="宋体" w:hAnsi="宋体" w:cs="宋体"/>
          <w:szCs w:val="21"/>
        </w:rPr>
        <w:t>（2）总价金额与依据单价计算出的结果不一致的，以单价金额为准修正总价，但单价金额小数点有明显错误的除外。</w:t>
      </w:r>
    </w:p>
    <w:p w14:paraId="69A7DE83">
      <w:pPr>
        <w:spacing w:line="360" w:lineRule="auto"/>
        <w:ind w:firstLine="422" w:firstLineChars="200"/>
        <w:outlineLvl w:val="2"/>
        <w:rPr>
          <w:rFonts w:hint="eastAsia" w:ascii="宋体" w:hAnsi="宋体" w:cs="宋体"/>
          <w:b/>
          <w:szCs w:val="21"/>
        </w:rPr>
      </w:pPr>
      <w:bookmarkStart w:id="230" w:name="_Toc179632624"/>
      <w:bookmarkStart w:id="231" w:name="_Toc152042384"/>
      <w:bookmarkStart w:id="232" w:name="_Toc152045606"/>
      <w:bookmarkStart w:id="233" w:name="_Toc358873701"/>
      <w:bookmarkStart w:id="234" w:name="_Toc144974573"/>
      <w:r>
        <w:rPr>
          <w:rFonts w:hint="eastAsia" w:ascii="宋体" w:hAnsi="宋体" w:cs="宋体"/>
          <w:b/>
          <w:szCs w:val="21"/>
        </w:rPr>
        <w:t>3.2 详细评审</w:t>
      </w:r>
      <w:bookmarkEnd w:id="230"/>
      <w:bookmarkEnd w:id="231"/>
      <w:bookmarkEnd w:id="232"/>
      <w:bookmarkEnd w:id="233"/>
      <w:bookmarkEnd w:id="234"/>
    </w:p>
    <w:p w14:paraId="34854BFF">
      <w:pPr>
        <w:spacing w:line="360" w:lineRule="auto"/>
        <w:ind w:firstLine="420" w:firstLineChars="200"/>
        <w:rPr>
          <w:rFonts w:hint="eastAsia" w:ascii="宋体" w:hAnsi="宋体" w:cs="宋体"/>
          <w:szCs w:val="21"/>
        </w:rPr>
      </w:pPr>
      <w:r>
        <w:rPr>
          <w:rFonts w:hint="eastAsia" w:ascii="宋体" w:hAnsi="宋体" w:cs="宋体"/>
          <w:szCs w:val="21"/>
        </w:rPr>
        <w:t>3.2.1 评标委员会按本章有关款项规定的量化因素和分值进行打分，并计算出综合评估得分。</w:t>
      </w:r>
    </w:p>
    <w:p w14:paraId="4ED5C4F6">
      <w:pPr>
        <w:spacing w:line="360" w:lineRule="auto"/>
        <w:ind w:firstLine="420" w:firstLineChars="200"/>
        <w:rPr>
          <w:rFonts w:hint="eastAsia" w:ascii="宋体" w:hAnsi="宋体" w:cs="宋体"/>
          <w:szCs w:val="21"/>
        </w:rPr>
      </w:pPr>
      <w:r>
        <w:rPr>
          <w:rFonts w:hint="eastAsia" w:ascii="宋体" w:hAnsi="宋体" w:cs="宋体"/>
          <w:szCs w:val="21"/>
        </w:rPr>
        <w:t>（1）按本章有关款项规定的评审因素和分值对商务标计算出得分a；</w:t>
      </w:r>
    </w:p>
    <w:p w14:paraId="24B9B36E">
      <w:pPr>
        <w:spacing w:line="360" w:lineRule="auto"/>
        <w:ind w:firstLine="420" w:firstLineChars="200"/>
        <w:rPr>
          <w:rFonts w:hint="eastAsia" w:ascii="宋体" w:hAnsi="宋体" w:cs="宋体"/>
          <w:szCs w:val="21"/>
        </w:rPr>
      </w:pPr>
      <w:r>
        <w:rPr>
          <w:rFonts w:hint="eastAsia" w:ascii="宋体" w:hAnsi="宋体" w:cs="宋体"/>
          <w:szCs w:val="21"/>
        </w:rPr>
        <w:t>（2）按本章有关款项规定的评审因素和分值对技术标计算出得分b；</w:t>
      </w:r>
    </w:p>
    <w:p w14:paraId="4E9557DD">
      <w:pPr>
        <w:spacing w:line="360" w:lineRule="auto"/>
        <w:ind w:firstLine="420" w:firstLineChars="200"/>
        <w:rPr>
          <w:rFonts w:hint="eastAsia" w:ascii="宋体" w:hAnsi="宋体" w:cs="宋体"/>
          <w:szCs w:val="21"/>
        </w:rPr>
      </w:pPr>
      <w:r>
        <w:rPr>
          <w:rFonts w:hint="eastAsia" w:ascii="宋体" w:hAnsi="宋体" w:cs="宋体"/>
          <w:szCs w:val="21"/>
        </w:rPr>
        <w:t>（3）按本章有关款项规定的评审因素和分值对综合标计算出得分c；</w:t>
      </w:r>
    </w:p>
    <w:p w14:paraId="539BF3CB">
      <w:pPr>
        <w:spacing w:line="360" w:lineRule="auto"/>
        <w:ind w:firstLine="420" w:firstLineChars="200"/>
        <w:rPr>
          <w:rFonts w:hint="eastAsia" w:ascii="宋体" w:hAnsi="宋体" w:cs="宋体"/>
          <w:szCs w:val="21"/>
        </w:rPr>
      </w:pPr>
      <w:r>
        <w:rPr>
          <w:rFonts w:hint="eastAsia" w:ascii="宋体" w:hAnsi="宋体" w:cs="宋体"/>
          <w:szCs w:val="21"/>
        </w:rPr>
        <w:t>3.2.2 评分分值计算保留小数点后两位，小数点后第三位“四舍五入”。</w:t>
      </w:r>
    </w:p>
    <w:p w14:paraId="65839D28">
      <w:pPr>
        <w:spacing w:line="360" w:lineRule="auto"/>
        <w:ind w:firstLine="420" w:firstLineChars="200"/>
        <w:rPr>
          <w:rFonts w:hint="eastAsia" w:ascii="宋体" w:hAnsi="宋体" w:cs="宋体"/>
          <w:szCs w:val="21"/>
        </w:rPr>
      </w:pPr>
      <w:r>
        <w:rPr>
          <w:rFonts w:hint="eastAsia" w:ascii="宋体" w:hAnsi="宋体" w:cs="宋体"/>
          <w:szCs w:val="21"/>
        </w:rPr>
        <w:t>3.2.3 投标人得分=a+b+c（投标人最终得分为：评标委员会所有成员得分的算术平均值）。</w:t>
      </w:r>
    </w:p>
    <w:p w14:paraId="1A4FC3CC">
      <w:pPr>
        <w:spacing w:line="360" w:lineRule="auto"/>
        <w:ind w:firstLine="420" w:firstLineChars="200"/>
        <w:rPr>
          <w:rFonts w:hint="eastAsia" w:ascii="宋体" w:hAnsi="宋体" w:cs="宋体"/>
          <w:szCs w:val="21"/>
        </w:rPr>
      </w:pPr>
      <w:r>
        <w:rPr>
          <w:rFonts w:hint="eastAsia" w:ascii="宋体" w:hAnsi="宋体" w:cs="宋体"/>
          <w:szCs w:val="21"/>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5CE8469">
      <w:pPr>
        <w:spacing w:line="360" w:lineRule="auto"/>
        <w:ind w:firstLine="422" w:firstLineChars="200"/>
        <w:outlineLvl w:val="2"/>
        <w:rPr>
          <w:rFonts w:hint="eastAsia" w:ascii="宋体" w:hAnsi="宋体" w:cs="宋体"/>
          <w:b/>
          <w:szCs w:val="21"/>
        </w:rPr>
      </w:pPr>
      <w:bookmarkStart w:id="235" w:name="_Toc144974575"/>
      <w:bookmarkStart w:id="236" w:name="_Toc152045607"/>
      <w:bookmarkStart w:id="237" w:name="_Toc358873702"/>
      <w:bookmarkStart w:id="238" w:name="_Toc179632625"/>
      <w:bookmarkStart w:id="239" w:name="_Toc152042385"/>
      <w:r>
        <w:rPr>
          <w:rFonts w:hint="eastAsia" w:ascii="宋体" w:hAnsi="宋体" w:cs="宋体"/>
          <w:b/>
          <w:szCs w:val="21"/>
        </w:rPr>
        <w:t>3.3 投标文件的澄清</w:t>
      </w:r>
      <w:bookmarkEnd w:id="235"/>
      <w:r>
        <w:rPr>
          <w:rFonts w:hint="eastAsia" w:ascii="宋体" w:hAnsi="宋体" w:cs="宋体"/>
          <w:b/>
          <w:szCs w:val="21"/>
        </w:rPr>
        <w:t>和补正</w:t>
      </w:r>
      <w:bookmarkEnd w:id="236"/>
      <w:bookmarkEnd w:id="237"/>
      <w:bookmarkEnd w:id="238"/>
      <w:bookmarkEnd w:id="239"/>
    </w:p>
    <w:p w14:paraId="1920D5E2">
      <w:pPr>
        <w:spacing w:line="360" w:lineRule="auto"/>
        <w:ind w:firstLine="420" w:firstLineChars="200"/>
        <w:rPr>
          <w:rFonts w:hint="eastAsia" w:ascii="宋体" w:hAnsi="宋体" w:cs="宋体"/>
          <w:szCs w:val="21"/>
        </w:rPr>
      </w:pPr>
      <w:r>
        <w:rPr>
          <w:rFonts w:hint="eastAsia" w:ascii="宋体" w:hAnsi="宋体" w:cs="宋体"/>
          <w:szCs w:val="21"/>
        </w:rPr>
        <w:t>3.3.1在评标过程中，评标委员会可以在电子交易系统中要求投标人对所提交投标文件中不明确的内容进行电子澄清或说明，或者对细微偏差进行补正。评标委员会不接受投标人主动提出的澄清、说明或补正。</w:t>
      </w:r>
    </w:p>
    <w:p w14:paraId="772EDE22">
      <w:pPr>
        <w:spacing w:line="360" w:lineRule="auto"/>
        <w:ind w:firstLine="420" w:firstLineChars="200"/>
        <w:rPr>
          <w:rFonts w:hint="eastAsia" w:ascii="宋体" w:hAnsi="宋体" w:cs="宋体"/>
          <w:szCs w:val="21"/>
        </w:rPr>
      </w:pPr>
      <w:r>
        <w:rPr>
          <w:rFonts w:hint="eastAsia" w:ascii="宋体" w:hAnsi="宋体" w:cs="宋体"/>
          <w:szCs w:val="21"/>
        </w:rPr>
        <w:t>3.3.2 澄清、说明和补正不得改变投标文件的实质性内容（算术性错误修正的除外）。投标人的电子澄清、说明和补正属于投标文件的组成部分。</w:t>
      </w:r>
    </w:p>
    <w:p w14:paraId="1E3E43B1">
      <w:pPr>
        <w:spacing w:line="360" w:lineRule="auto"/>
        <w:ind w:firstLine="420" w:firstLineChars="200"/>
        <w:rPr>
          <w:rFonts w:hint="eastAsia" w:ascii="宋体" w:hAnsi="宋体" w:cs="宋体"/>
          <w:szCs w:val="21"/>
        </w:rPr>
      </w:pPr>
      <w:r>
        <w:rPr>
          <w:rFonts w:hint="eastAsia" w:ascii="宋体" w:hAnsi="宋体" w:cs="宋体"/>
          <w:szCs w:val="21"/>
        </w:rPr>
        <w:t>3.3.3 评标委员会对投标人提交的澄清、说明或补正有疑问的，可以要求投标人进一步澄清、说明或补正，直至满足评标委员会的要求。</w:t>
      </w:r>
    </w:p>
    <w:p w14:paraId="7AC5F4FF">
      <w:pPr>
        <w:spacing w:line="360" w:lineRule="auto"/>
        <w:ind w:firstLine="422" w:firstLineChars="200"/>
        <w:outlineLvl w:val="2"/>
        <w:rPr>
          <w:rFonts w:hint="eastAsia" w:ascii="宋体" w:hAnsi="宋体" w:cs="宋体"/>
          <w:b/>
          <w:szCs w:val="21"/>
        </w:rPr>
      </w:pPr>
      <w:bookmarkStart w:id="240" w:name="_Toc179632626"/>
      <w:bookmarkStart w:id="241" w:name="_Toc152045608"/>
      <w:bookmarkStart w:id="242" w:name="_Toc144974576"/>
      <w:bookmarkStart w:id="243" w:name="_Toc152042386"/>
      <w:bookmarkStart w:id="244" w:name="_Toc358873703"/>
      <w:r>
        <w:rPr>
          <w:rFonts w:hint="eastAsia" w:ascii="宋体" w:hAnsi="宋体" w:cs="宋体"/>
          <w:b/>
          <w:szCs w:val="21"/>
        </w:rPr>
        <w:t>3.4 评标结果</w:t>
      </w:r>
      <w:bookmarkEnd w:id="240"/>
      <w:bookmarkEnd w:id="241"/>
      <w:bookmarkEnd w:id="242"/>
      <w:bookmarkEnd w:id="243"/>
      <w:bookmarkEnd w:id="244"/>
    </w:p>
    <w:p w14:paraId="6CA3CE49">
      <w:pPr>
        <w:spacing w:line="360" w:lineRule="auto"/>
        <w:ind w:firstLine="420" w:firstLineChars="200"/>
        <w:rPr>
          <w:rFonts w:hint="eastAsia" w:ascii="宋体" w:hAnsi="宋体" w:cs="宋体"/>
          <w:szCs w:val="21"/>
        </w:rPr>
      </w:pPr>
      <w:r>
        <w:rPr>
          <w:rFonts w:hint="eastAsia" w:ascii="宋体" w:hAnsi="宋体" w:cs="宋体"/>
          <w:szCs w:val="21"/>
        </w:rPr>
        <w:t>3.4.1除第二章“投标人须知”前附表授权直接确定中标人外，评标委员会按照得分由高到低的顺序推荐中标候选人。</w:t>
      </w:r>
    </w:p>
    <w:p w14:paraId="2FA0F9E0">
      <w:pPr>
        <w:spacing w:line="360" w:lineRule="auto"/>
        <w:ind w:firstLine="420" w:firstLineChars="200"/>
        <w:rPr>
          <w:rFonts w:hint="eastAsia" w:ascii="宋体" w:hAnsi="宋体" w:cs="宋体"/>
          <w:sz w:val="24"/>
        </w:rPr>
      </w:pPr>
      <w:r>
        <w:rPr>
          <w:rFonts w:hint="eastAsia" w:ascii="宋体" w:hAnsi="宋体" w:cs="宋体"/>
          <w:szCs w:val="21"/>
        </w:rPr>
        <w:t>3.4.2 评标委员会完成评标后，应当向采购人提交书面评标报告。</w:t>
      </w:r>
    </w:p>
    <w:p w14:paraId="758CEBA2">
      <w:pPr>
        <w:spacing w:after="120" w:line="480" w:lineRule="auto"/>
        <w:rPr>
          <w:rFonts w:ascii="Calibri" w:hAnsi="Calibri"/>
          <w:szCs w:val="22"/>
        </w:rPr>
      </w:pPr>
    </w:p>
    <w:p w14:paraId="347A29C0">
      <w:pPr>
        <w:spacing w:line="360" w:lineRule="auto"/>
        <w:rPr>
          <w:rFonts w:hint="eastAsia" w:ascii="宋体" w:hAnsi="宋体"/>
          <w:sz w:val="24"/>
        </w:rPr>
        <w:sectPr>
          <w:pgSz w:w="11906" w:h="16838"/>
          <w:pgMar w:top="1134" w:right="1134" w:bottom="1418" w:left="1418" w:header="851" w:footer="992" w:gutter="0"/>
          <w:cols w:space="425" w:num="1"/>
          <w:docGrid w:type="lines" w:linePitch="312" w:charSpace="0"/>
        </w:sectPr>
      </w:pPr>
    </w:p>
    <w:p w14:paraId="44EC22CB">
      <w:pPr>
        <w:jc w:val="center"/>
        <w:rPr>
          <w:b/>
          <w:bCs/>
          <w:sz w:val="32"/>
          <w:szCs w:val="40"/>
        </w:rPr>
      </w:pPr>
      <w:bookmarkStart w:id="245" w:name="_Toc119784538"/>
      <w:bookmarkStart w:id="246" w:name="_Toc18643"/>
      <w:r>
        <w:rPr>
          <w:rFonts w:hint="eastAsia"/>
          <w:b/>
          <w:bCs/>
          <w:sz w:val="32"/>
          <w:szCs w:val="40"/>
        </w:rPr>
        <w:t>第四章  合同条款及格式</w:t>
      </w:r>
      <w:bookmarkEnd w:id="245"/>
      <w:bookmarkEnd w:id="246"/>
    </w:p>
    <w:p w14:paraId="515C2A93">
      <w:pPr>
        <w:autoSpaceDE w:val="0"/>
        <w:autoSpaceDN w:val="0"/>
        <w:spacing w:line="360" w:lineRule="auto"/>
        <w:rPr>
          <w:rFonts w:hint="eastAsia" w:ascii="宋体" w:hAnsi="宋体" w:cs="宋体"/>
          <w:szCs w:val="21"/>
          <w:lang w:val="zh-CN"/>
        </w:rPr>
      </w:pPr>
      <w:bookmarkStart w:id="247" w:name="14.__试验和检验"/>
      <w:bookmarkEnd w:id="247"/>
      <w:bookmarkStart w:id="248" w:name="11.6__工期提前"/>
      <w:bookmarkEnd w:id="248"/>
      <w:bookmarkStart w:id="249" w:name="17.2__预付款_"/>
      <w:bookmarkEnd w:id="249"/>
      <w:bookmarkStart w:id="250" w:name="_bookmark42"/>
      <w:bookmarkEnd w:id="250"/>
      <w:bookmarkStart w:id="251" w:name="15.6__暂列金额"/>
      <w:bookmarkEnd w:id="251"/>
      <w:bookmarkStart w:id="252" w:name="16.__价格调整"/>
      <w:bookmarkEnd w:id="252"/>
      <w:bookmarkStart w:id="253" w:name="15.__变更"/>
      <w:bookmarkEnd w:id="253"/>
      <w:bookmarkStart w:id="254" w:name="15.1__变更的范围和内容"/>
      <w:bookmarkEnd w:id="254"/>
      <w:bookmarkStart w:id="255" w:name="14.1__材料、工程设备和工程的试验和检验"/>
      <w:bookmarkEnd w:id="255"/>
      <w:bookmarkStart w:id="256" w:name="16.1__物价波动引起的价格调整"/>
      <w:bookmarkEnd w:id="256"/>
      <w:bookmarkStart w:id="257" w:name="17.__计量与支付"/>
      <w:bookmarkEnd w:id="257"/>
      <w:bookmarkStart w:id="258" w:name="_Toc351203494"/>
      <w:bookmarkStart w:id="259" w:name="_Toc326653994"/>
      <w:bookmarkStart w:id="260" w:name="_Toc13729"/>
      <w:bookmarkStart w:id="261" w:name="_Toc27548"/>
    </w:p>
    <w:p w14:paraId="3BB6FE99">
      <w:pPr>
        <w:spacing w:line="440" w:lineRule="exact"/>
        <w:jc w:val="center"/>
        <w:rPr>
          <w:rFonts w:hint="eastAsia" w:ascii="宋体" w:hAnsi="宋体" w:cs="宋体"/>
          <w:b/>
          <w:bCs/>
          <w:sz w:val="32"/>
          <w:szCs w:val="32"/>
        </w:rPr>
      </w:pPr>
      <w:r>
        <w:rPr>
          <w:rFonts w:hint="eastAsia" w:ascii="宋体" w:hAnsi="宋体" w:cs="宋体"/>
          <w:b/>
          <w:bCs/>
          <w:sz w:val="32"/>
          <w:szCs w:val="32"/>
        </w:rPr>
        <w:t>鲁山县粮食和物资储备服务中心鲁山县粮食储备体系升级改造项目</w:t>
      </w:r>
    </w:p>
    <w:p w14:paraId="0D2BF124">
      <w:pPr>
        <w:spacing w:line="440" w:lineRule="exact"/>
        <w:jc w:val="center"/>
        <w:rPr>
          <w:rFonts w:hint="eastAsia" w:ascii="宋体" w:hAnsi="宋体" w:cs="宋体"/>
          <w:b/>
          <w:bCs/>
          <w:sz w:val="32"/>
          <w:szCs w:val="32"/>
        </w:rPr>
      </w:pPr>
      <w:r>
        <w:rPr>
          <w:rFonts w:hint="eastAsia" w:ascii="宋体" w:hAnsi="宋体" w:cs="宋体"/>
          <w:b/>
          <w:bCs/>
          <w:sz w:val="32"/>
          <w:szCs w:val="32"/>
        </w:rPr>
        <w:t>（智能化信息监管系统）项目</w:t>
      </w:r>
    </w:p>
    <w:p w14:paraId="5901FA3F">
      <w:pPr>
        <w:spacing w:line="440" w:lineRule="exact"/>
        <w:jc w:val="center"/>
        <w:rPr>
          <w:rFonts w:hint="eastAsia" w:ascii="宋体" w:hAnsi="宋体" w:cs="宋体"/>
          <w:b/>
          <w:bCs/>
          <w:sz w:val="32"/>
          <w:szCs w:val="32"/>
        </w:rPr>
      </w:pPr>
      <w:r>
        <w:rPr>
          <w:rFonts w:hint="eastAsia" w:ascii="宋体" w:hAnsi="宋体" w:cs="宋体"/>
          <w:b/>
          <w:bCs/>
          <w:sz w:val="32"/>
          <w:szCs w:val="32"/>
        </w:rPr>
        <w:t>服务合同</w:t>
      </w:r>
    </w:p>
    <w:p w14:paraId="7D26195E">
      <w:pPr>
        <w:spacing w:line="440" w:lineRule="exact"/>
        <w:ind w:firstLine="420" w:firstLineChars="200"/>
        <w:rPr>
          <w:rFonts w:hint="eastAsia" w:ascii="宋体" w:hAnsi="宋体" w:cs="宋体"/>
          <w:szCs w:val="21"/>
        </w:rPr>
      </w:pPr>
    </w:p>
    <w:p w14:paraId="1CE977CC">
      <w:pPr>
        <w:spacing w:line="440" w:lineRule="exact"/>
        <w:ind w:firstLine="420" w:firstLineChars="200"/>
        <w:rPr>
          <w:rFonts w:hint="eastAsia" w:ascii="宋体" w:hAnsi="宋体" w:cs="宋体"/>
          <w:szCs w:val="21"/>
        </w:rPr>
      </w:pPr>
      <w:r>
        <w:rPr>
          <w:rFonts w:hint="eastAsia" w:ascii="宋体" w:hAnsi="宋体" w:cs="宋体"/>
          <w:szCs w:val="21"/>
        </w:rPr>
        <w:t>委托方（全称）：</w:t>
      </w:r>
      <w:r>
        <w:rPr>
          <w:rFonts w:hint="eastAsia" w:ascii="宋体" w:hAnsi="宋体" w:cs="宋体"/>
          <w:kern w:val="0"/>
          <w:szCs w:val="21"/>
          <w:u w:val="single"/>
          <w:lang w:bidi="ar"/>
        </w:rPr>
        <w:t xml:space="preserve">                    </w:t>
      </w:r>
      <w:r>
        <w:rPr>
          <w:rFonts w:hint="eastAsia" w:ascii="宋体" w:hAnsi="宋体" w:cs="宋体"/>
          <w:szCs w:val="21"/>
        </w:rPr>
        <w:t>（以下简称甲方）</w:t>
      </w:r>
    </w:p>
    <w:p w14:paraId="7169B923">
      <w:pPr>
        <w:spacing w:line="440" w:lineRule="exact"/>
        <w:ind w:firstLine="420" w:firstLineChars="200"/>
        <w:rPr>
          <w:rFonts w:hint="eastAsia" w:ascii="宋体" w:hAnsi="宋体" w:cs="宋体"/>
          <w:szCs w:val="21"/>
        </w:rPr>
      </w:pPr>
      <w:r>
        <w:rPr>
          <w:rFonts w:hint="eastAsia" w:ascii="宋体" w:hAnsi="宋体" w:cs="宋体"/>
          <w:szCs w:val="21"/>
        </w:rPr>
        <w:t>受托方（全称）：</w:t>
      </w:r>
      <w:r>
        <w:rPr>
          <w:rFonts w:hint="eastAsia" w:ascii="宋体" w:hAnsi="宋体" w:cs="宋体"/>
          <w:kern w:val="0"/>
          <w:szCs w:val="21"/>
          <w:u w:val="single"/>
          <w:lang w:bidi="ar"/>
        </w:rPr>
        <w:t xml:space="preserve">                    </w:t>
      </w:r>
      <w:r>
        <w:rPr>
          <w:rFonts w:hint="eastAsia" w:ascii="宋体" w:hAnsi="宋体" w:cs="宋体"/>
          <w:szCs w:val="21"/>
        </w:rPr>
        <w:t>（以下简称乙方）</w:t>
      </w:r>
    </w:p>
    <w:p w14:paraId="29674F4B">
      <w:pPr>
        <w:spacing w:line="440" w:lineRule="exact"/>
        <w:ind w:firstLine="420" w:firstLineChars="200"/>
        <w:rPr>
          <w:rFonts w:hint="eastAsia" w:ascii="宋体" w:hAnsi="宋体" w:cs="宋体"/>
          <w:szCs w:val="21"/>
        </w:rPr>
      </w:pPr>
      <w:r>
        <w:rPr>
          <w:rFonts w:hint="eastAsia" w:ascii="宋体" w:hAnsi="宋体" w:cs="宋体"/>
          <w:szCs w:val="21"/>
        </w:rPr>
        <w:t>本合同甲方委托乙方进行</w:t>
      </w:r>
      <w:r>
        <w:rPr>
          <w:rFonts w:hint="eastAsia" w:ascii="宋体" w:hAnsi="宋体" w:cs="宋体"/>
          <w:kern w:val="0"/>
          <w:szCs w:val="21"/>
          <w:u w:val="single"/>
          <w:lang w:bidi="ar"/>
        </w:rPr>
        <w:t xml:space="preserve">               </w:t>
      </w:r>
      <w:r>
        <w:rPr>
          <w:rFonts w:hint="eastAsia" w:ascii="宋体" w:hAnsi="宋体" w:cs="宋体"/>
          <w:szCs w:val="21"/>
        </w:rPr>
        <w:t>的技术服务工作，并支付相应的技术服务报酬。依照《中华人民共和国民法典》及其他有关法律、行政法规，遵循平等、自愿、公平和诚实信用的原则，现达成如下协议：</w:t>
      </w:r>
    </w:p>
    <w:p w14:paraId="014735C3">
      <w:pPr>
        <w:spacing w:line="440" w:lineRule="exact"/>
        <w:ind w:firstLine="420" w:firstLineChars="200"/>
        <w:rPr>
          <w:rFonts w:hint="eastAsia" w:ascii="宋体" w:hAnsi="宋体" w:cs="宋体"/>
          <w:szCs w:val="21"/>
        </w:rPr>
      </w:pPr>
      <w:r>
        <w:rPr>
          <w:rFonts w:hint="eastAsia" w:ascii="宋体" w:hAnsi="宋体" w:cs="宋体"/>
          <w:szCs w:val="21"/>
        </w:rPr>
        <w:t>第一条、甲方委托乙方进行技术服务的内容如下：</w:t>
      </w:r>
    </w:p>
    <w:p w14:paraId="4D976E2B">
      <w:pPr>
        <w:spacing w:line="440" w:lineRule="exact"/>
        <w:ind w:firstLine="420" w:firstLineChars="200"/>
        <w:rPr>
          <w:rFonts w:hint="eastAsia" w:ascii="宋体" w:hAnsi="宋体" w:cs="宋体"/>
          <w:kern w:val="0"/>
          <w:szCs w:val="21"/>
          <w:u w:val="single"/>
          <w:lang w:bidi="ar"/>
        </w:rPr>
      </w:pPr>
      <w:r>
        <w:rPr>
          <w:rFonts w:hint="eastAsia" w:ascii="宋体" w:hAnsi="宋体" w:cs="宋体"/>
          <w:szCs w:val="21"/>
        </w:rPr>
        <w:t>1.技术服务的目标：</w:t>
      </w:r>
      <w:r>
        <w:rPr>
          <w:rFonts w:hint="eastAsia" w:ascii="宋体" w:hAnsi="宋体" w:cs="宋体"/>
          <w:kern w:val="0"/>
          <w:szCs w:val="21"/>
          <w:u w:val="single"/>
          <w:lang w:bidi="ar"/>
        </w:rPr>
        <w:t xml:space="preserve">                            </w:t>
      </w:r>
    </w:p>
    <w:p w14:paraId="54A4A642">
      <w:pPr>
        <w:spacing w:line="440" w:lineRule="exact"/>
        <w:ind w:firstLine="420" w:firstLineChars="200"/>
        <w:rPr>
          <w:rFonts w:hint="eastAsia" w:ascii="宋体" w:hAnsi="宋体" w:cs="宋体"/>
          <w:szCs w:val="21"/>
        </w:rPr>
      </w:pPr>
      <w:r>
        <w:rPr>
          <w:rFonts w:hint="eastAsia" w:ascii="宋体" w:hAnsi="宋体" w:cs="宋体"/>
          <w:szCs w:val="21"/>
        </w:rPr>
        <w:t>2.技术服务的内容：</w:t>
      </w:r>
      <w:r>
        <w:rPr>
          <w:rFonts w:hint="eastAsia" w:ascii="宋体" w:hAnsi="宋体" w:cs="宋体"/>
          <w:kern w:val="0"/>
          <w:szCs w:val="21"/>
          <w:u w:val="single"/>
          <w:lang w:bidi="ar"/>
        </w:rPr>
        <w:t xml:space="preserve">                            </w:t>
      </w:r>
    </w:p>
    <w:p w14:paraId="3DA5E720">
      <w:pPr>
        <w:spacing w:line="440" w:lineRule="exact"/>
        <w:ind w:firstLine="420" w:firstLineChars="200"/>
        <w:rPr>
          <w:rFonts w:hint="eastAsia" w:ascii="宋体" w:hAnsi="宋体" w:cs="宋体"/>
          <w:szCs w:val="21"/>
        </w:rPr>
      </w:pPr>
      <w:r>
        <w:rPr>
          <w:rFonts w:hint="eastAsia" w:ascii="宋体" w:hAnsi="宋体" w:cs="宋体"/>
          <w:kern w:val="0"/>
          <w:szCs w:val="21"/>
          <w:lang w:bidi="ar"/>
        </w:rPr>
        <w:t>3.技术服务的方式：</w:t>
      </w:r>
      <w:r>
        <w:rPr>
          <w:rFonts w:hint="eastAsia" w:ascii="宋体" w:hAnsi="宋体" w:cs="宋体"/>
          <w:kern w:val="0"/>
          <w:szCs w:val="21"/>
          <w:u w:val="single"/>
          <w:lang w:bidi="ar"/>
        </w:rPr>
        <w:t xml:space="preserve">                            </w:t>
      </w:r>
    </w:p>
    <w:p w14:paraId="607BCAFD">
      <w:pPr>
        <w:spacing w:line="440" w:lineRule="exact"/>
        <w:ind w:firstLine="420" w:firstLineChars="200"/>
        <w:rPr>
          <w:rFonts w:hint="eastAsia" w:ascii="宋体" w:hAnsi="宋体" w:cs="宋体"/>
          <w:szCs w:val="21"/>
        </w:rPr>
      </w:pPr>
      <w:r>
        <w:rPr>
          <w:rFonts w:hint="eastAsia" w:ascii="宋体" w:hAnsi="宋体" w:cs="宋体"/>
          <w:szCs w:val="21"/>
        </w:rPr>
        <w:t>第二条、乙方应按下列要求完成技术服务工作：</w:t>
      </w:r>
    </w:p>
    <w:p w14:paraId="37022831">
      <w:pPr>
        <w:spacing w:line="440" w:lineRule="exact"/>
        <w:ind w:firstLine="420" w:firstLineChars="200"/>
        <w:rPr>
          <w:rFonts w:hint="eastAsia" w:ascii="宋体" w:hAnsi="宋体" w:cs="宋体"/>
          <w:szCs w:val="21"/>
        </w:rPr>
      </w:pPr>
      <w:r>
        <w:rPr>
          <w:rFonts w:hint="eastAsia" w:ascii="宋体" w:hAnsi="宋体" w:cs="宋体"/>
          <w:szCs w:val="21"/>
        </w:rPr>
        <w:t>1.技术服务地点：</w:t>
      </w:r>
      <w:r>
        <w:rPr>
          <w:rFonts w:hint="eastAsia" w:ascii="宋体" w:hAnsi="宋体" w:cs="宋体"/>
          <w:kern w:val="0"/>
          <w:szCs w:val="21"/>
          <w:u w:val="single"/>
          <w:lang w:bidi="ar"/>
        </w:rPr>
        <w:t xml:space="preserve">                              </w:t>
      </w:r>
    </w:p>
    <w:p w14:paraId="540B3599">
      <w:pPr>
        <w:spacing w:line="440" w:lineRule="exact"/>
        <w:ind w:firstLine="420" w:firstLineChars="200"/>
        <w:rPr>
          <w:rFonts w:hint="eastAsia" w:ascii="宋体" w:hAnsi="宋体" w:cs="宋体"/>
          <w:szCs w:val="21"/>
        </w:rPr>
      </w:pPr>
      <w:r>
        <w:rPr>
          <w:rFonts w:hint="eastAsia" w:ascii="宋体" w:hAnsi="宋体" w:cs="宋体"/>
          <w:szCs w:val="21"/>
        </w:rPr>
        <w:t>2.技术服务要求要求：</w:t>
      </w:r>
      <w:r>
        <w:rPr>
          <w:rFonts w:hint="eastAsia" w:ascii="宋体" w:hAnsi="宋体" w:cs="宋体"/>
          <w:kern w:val="0"/>
          <w:szCs w:val="21"/>
          <w:u w:val="single"/>
          <w:lang w:bidi="ar"/>
        </w:rPr>
        <w:t xml:space="preserve">                          </w:t>
      </w:r>
    </w:p>
    <w:p w14:paraId="0D2FA4A0">
      <w:pPr>
        <w:spacing w:line="440" w:lineRule="exact"/>
        <w:ind w:firstLine="420" w:firstLineChars="200"/>
        <w:rPr>
          <w:rFonts w:hint="eastAsia" w:ascii="宋体" w:hAnsi="宋体" w:cs="宋体"/>
          <w:szCs w:val="21"/>
        </w:rPr>
      </w:pPr>
      <w:r>
        <w:rPr>
          <w:rFonts w:hint="eastAsia" w:ascii="宋体" w:hAnsi="宋体" w:cs="宋体"/>
          <w:szCs w:val="21"/>
        </w:rPr>
        <w:t>3.技术服务要求期限要求：</w:t>
      </w:r>
      <w:r>
        <w:rPr>
          <w:rFonts w:hint="eastAsia" w:ascii="宋体" w:hAnsi="宋体" w:cs="宋体"/>
          <w:kern w:val="0"/>
          <w:szCs w:val="21"/>
          <w:u w:val="single"/>
          <w:lang w:bidi="ar"/>
        </w:rPr>
        <w:t xml:space="preserve">                      </w:t>
      </w:r>
    </w:p>
    <w:p w14:paraId="4111F2FD">
      <w:pPr>
        <w:spacing w:line="440" w:lineRule="exact"/>
        <w:ind w:firstLine="420" w:firstLineChars="200"/>
        <w:rPr>
          <w:rFonts w:hint="eastAsia" w:ascii="宋体" w:hAnsi="宋体" w:cs="宋体"/>
          <w:szCs w:val="21"/>
        </w:rPr>
      </w:pPr>
      <w:r>
        <w:rPr>
          <w:rFonts w:hint="eastAsia" w:ascii="宋体" w:hAnsi="宋体" w:cs="宋体"/>
          <w:szCs w:val="21"/>
        </w:rPr>
        <w:t>4.技术服务成果的提交要求：</w:t>
      </w:r>
      <w:r>
        <w:rPr>
          <w:rFonts w:hint="eastAsia" w:ascii="宋体" w:hAnsi="宋体" w:cs="宋体"/>
          <w:kern w:val="0"/>
          <w:szCs w:val="21"/>
          <w:u w:val="single"/>
          <w:lang w:bidi="ar"/>
        </w:rPr>
        <w:t xml:space="preserve">                    </w:t>
      </w:r>
    </w:p>
    <w:p w14:paraId="49124F66">
      <w:pPr>
        <w:spacing w:line="440" w:lineRule="exact"/>
        <w:ind w:firstLine="420" w:firstLineChars="200"/>
        <w:rPr>
          <w:rFonts w:hint="eastAsia" w:ascii="宋体" w:hAnsi="宋体" w:cs="宋体"/>
          <w:kern w:val="0"/>
          <w:szCs w:val="21"/>
        </w:rPr>
      </w:pPr>
      <w:r>
        <w:rPr>
          <w:rFonts w:hint="eastAsia" w:ascii="宋体" w:hAnsi="宋体" w:cs="宋体"/>
          <w:kern w:val="0"/>
          <w:szCs w:val="21"/>
          <w:lang w:bidi="ar"/>
        </w:rPr>
        <w:t>第三条、为保证乙方有效进行技术服务工作，甲方应向乙方提供下列工作条件和协作事项：</w:t>
      </w:r>
    </w:p>
    <w:p w14:paraId="225F45AE">
      <w:pPr>
        <w:tabs>
          <w:tab w:val="left" w:pos="7633"/>
        </w:tabs>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1.提供技术资料：相关基础资料。</w:t>
      </w:r>
    </w:p>
    <w:p w14:paraId="7B367E1E">
      <w:pPr>
        <w:tabs>
          <w:tab w:val="left" w:pos="7633"/>
        </w:tabs>
        <w:spacing w:line="440" w:lineRule="exact"/>
        <w:ind w:firstLine="420" w:firstLineChars="200"/>
        <w:rPr>
          <w:rFonts w:hint="eastAsia" w:ascii="宋体" w:hAnsi="宋体" w:cs="宋体"/>
          <w:kern w:val="0"/>
          <w:szCs w:val="21"/>
        </w:rPr>
      </w:pPr>
      <w:r>
        <w:rPr>
          <w:rFonts w:hint="eastAsia" w:ascii="宋体" w:hAnsi="宋体" w:cs="宋体"/>
          <w:kern w:val="0"/>
          <w:szCs w:val="21"/>
          <w:lang w:bidi="ar"/>
        </w:rPr>
        <w:t>2.提供工作条件：提供相关协作人员对接。</w:t>
      </w:r>
    </w:p>
    <w:p w14:paraId="00BA9124">
      <w:pPr>
        <w:spacing w:line="440" w:lineRule="exact"/>
        <w:ind w:firstLine="420" w:firstLineChars="200"/>
        <w:rPr>
          <w:rFonts w:hint="eastAsia" w:ascii="宋体" w:hAnsi="宋体" w:cs="宋体"/>
          <w:kern w:val="0"/>
          <w:szCs w:val="21"/>
        </w:rPr>
      </w:pPr>
      <w:r>
        <w:rPr>
          <w:rFonts w:hint="eastAsia" w:ascii="宋体" w:hAnsi="宋体" w:cs="宋体"/>
          <w:kern w:val="0"/>
          <w:szCs w:val="21"/>
          <w:lang w:bidi="ar"/>
        </w:rPr>
        <w:t>3.甲方提供上述工作条件和协作事项的时间及方式。</w:t>
      </w:r>
    </w:p>
    <w:p w14:paraId="0E261990">
      <w:pPr>
        <w:autoSpaceDE w:val="0"/>
        <w:autoSpaceDN w:val="0"/>
        <w:adjustRightInd w:val="0"/>
        <w:spacing w:line="440" w:lineRule="exact"/>
        <w:ind w:firstLine="420" w:firstLineChars="200"/>
        <w:jc w:val="left"/>
        <w:rPr>
          <w:rFonts w:hint="eastAsia" w:ascii="宋体" w:hAnsi="宋体" w:cs="宋体"/>
          <w:szCs w:val="21"/>
        </w:rPr>
      </w:pPr>
      <w:r>
        <w:rPr>
          <w:rFonts w:hint="eastAsia" w:ascii="宋体" w:hAnsi="宋体" w:cs="宋体"/>
          <w:kern w:val="0"/>
          <w:szCs w:val="21"/>
          <w:lang w:bidi="ar"/>
        </w:rPr>
        <w:t>第四条：技术服务合同金额及支付方式</w:t>
      </w:r>
      <w:r>
        <w:rPr>
          <w:rFonts w:hint="eastAsia" w:ascii="宋体" w:hAnsi="宋体" w:cs="宋体"/>
          <w:szCs w:val="21"/>
        </w:rPr>
        <w:t>：</w:t>
      </w:r>
    </w:p>
    <w:p w14:paraId="7205F77C">
      <w:pPr>
        <w:autoSpaceDE w:val="0"/>
        <w:autoSpaceDN w:val="0"/>
        <w:adjustRightInd w:val="0"/>
        <w:spacing w:line="440" w:lineRule="exact"/>
        <w:ind w:firstLine="420" w:firstLineChars="200"/>
        <w:jc w:val="left"/>
        <w:rPr>
          <w:rFonts w:hint="eastAsia" w:ascii="宋体" w:hAnsi="宋体" w:cs="宋体"/>
          <w:kern w:val="0"/>
          <w:szCs w:val="21"/>
        </w:rPr>
      </w:pPr>
      <w:r>
        <w:rPr>
          <w:rFonts w:hint="eastAsia" w:ascii="宋体" w:hAnsi="宋体" w:cs="宋体"/>
          <w:kern w:val="0"/>
          <w:szCs w:val="21"/>
          <w:lang w:bidi="ar"/>
        </w:rPr>
        <w:t>（1）服务费总额为：</w:t>
      </w:r>
      <w:r>
        <w:rPr>
          <w:rFonts w:hint="eastAsia" w:ascii="宋体" w:hAnsi="宋体" w:cs="宋体"/>
          <w:szCs w:val="21"/>
          <w:lang w:bidi="ar"/>
        </w:rPr>
        <w:t xml:space="preserve">（大写）人民币 </w:t>
      </w:r>
      <w:r>
        <w:rPr>
          <w:rFonts w:hint="eastAsia" w:ascii="宋体" w:hAnsi="宋体" w:cs="宋体"/>
          <w:szCs w:val="21"/>
          <w:u w:val="single"/>
          <w:lang w:bidi="ar"/>
        </w:rPr>
        <w:t xml:space="preserve">         </w:t>
      </w:r>
      <w:r>
        <w:rPr>
          <w:rFonts w:hint="eastAsia" w:ascii="宋体" w:hAnsi="宋体" w:cs="宋体"/>
          <w:szCs w:val="21"/>
          <w:lang w:bidi="ar"/>
        </w:rPr>
        <w:t>（小写￥</w:t>
      </w:r>
      <w:r>
        <w:rPr>
          <w:rFonts w:hint="eastAsia" w:ascii="宋体" w:hAnsi="宋体" w:cs="宋体"/>
          <w:szCs w:val="21"/>
          <w:u w:val="single"/>
          <w:lang w:bidi="ar"/>
        </w:rPr>
        <w:t xml:space="preserve">         </w:t>
      </w:r>
      <w:r>
        <w:rPr>
          <w:rFonts w:hint="eastAsia" w:ascii="宋体" w:hAnsi="宋体" w:cs="宋体"/>
          <w:szCs w:val="21"/>
          <w:lang w:bidi="ar"/>
        </w:rPr>
        <w:t>元）。</w:t>
      </w:r>
    </w:p>
    <w:p w14:paraId="4AFEBA02">
      <w:pPr>
        <w:autoSpaceDE w:val="0"/>
        <w:autoSpaceDN w:val="0"/>
        <w:adjustRightInd w:val="0"/>
        <w:spacing w:line="440" w:lineRule="exact"/>
        <w:ind w:firstLine="420" w:firstLineChars="200"/>
        <w:jc w:val="left"/>
        <w:rPr>
          <w:rFonts w:hint="eastAsia" w:ascii="宋体" w:hAnsi="宋体" w:cs="宋体"/>
          <w:kern w:val="0"/>
          <w:szCs w:val="21"/>
          <w:highlight w:val="none"/>
          <w:lang w:bidi="ar"/>
        </w:rPr>
      </w:pPr>
      <w:r>
        <w:rPr>
          <w:rFonts w:hint="eastAsia" w:ascii="宋体" w:hAnsi="宋体" w:cs="宋体"/>
          <w:kern w:val="0"/>
          <w:szCs w:val="21"/>
          <w:highlight w:val="none"/>
          <w:lang w:bidi="ar"/>
        </w:rPr>
        <w:t>（2）付款方式：合同签订后，成交人进场服务并提供符合甲方要求的支付手续后，甲方支付给乙方合同金额50%的首付款，后续根据甲乙双方约定建设库点内容及进度，在库点验收完成服务两个月后，成交人按照合同履约并提交合格支付手续后，甲方向乙方再支付合同金额的45%，整体项目实施完毕后，使用一年无任何问题，支付剩余款项。</w:t>
      </w:r>
    </w:p>
    <w:p w14:paraId="426D93BB">
      <w:pPr>
        <w:spacing w:line="440" w:lineRule="exact"/>
        <w:ind w:firstLine="420" w:firstLineChars="200"/>
        <w:rPr>
          <w:rFonts w:hint="eastAsia" w:ascii="宋体" w:hAnsi="宋体" w:cs="宋体"/>
          <w:szCs w:val="21"/>
        </w:rPr>
      </w:pPr>
      <w:r>
        <w:rPr>
          <w:rFonts w:hint="eastAsia" w:ascii="宋体" w:hAnsi="宋体" w:cs="宋体"/>
          <w:szCs w:val="21"/>
        </w:rPr>
        <w:t>第五条：双方确定因履行本合同应遵守的保密义务如下：</w:t>
      </w:r>
    </w:p>
    <w:p w14:paraId="6C9A1097">
      <w:pPr>
        <w:spacing w:line="440" w:lineRule="exact"/>
        <w:ind w:firstLine="420" w:firstLineChars="200"/>
        <w:rPr>
          <w:rFonts w:hint="eastAsia" w:ascii="宋体" w:hAnsi="宋体" w:cs="宋体"/>
          <w:szCs w:val="21"/>
        </w:rPr>
      </w:pPr>
      <w:r>
        <w:rPr>
          <w:rFonts w:hint="eastAsia" w:ascii="宋体" w:hAnsi="宋体" w:cs="宋体"/>
          <w:szCs w:val="21"/>
        </w:rPr>
        <w:t>乙方对履行本合同所获得的数据信息，应采取适当的措施使其处于保密状态。未经甲方书面同意，不得为本合同以外的目的披露、使用和允许他人使用。同时，乙方应督促和保证其他工作人员遵守本合同项目下的保密义务。乙方或其他人员违反该保密义务的，乙方应向甲方支付合同总价20%的违约金，并赔偿甲方因此遭受的所有直接和间接损失。</w:t>
      </w:r>
    </w:p>
    <w:p w14:paraId="5F04D0CD">
      <w:pPr>
        <w:spacing w:line="440" w:lineRule="exact"/>
        <w:ind w:firstLine="420" w:firstLineChars="200"/>
        <w:rPr>
          <w:rFonts w:hint="eastAsia" w:ascii="宋体" w:hAnsi="宋体" w:cs="宋体"/>
          <w:szCs w:val="21"/>
        </w:rPr>
      </w:pPr>
      <w:r>
        <w:rPr>
          <w:rFonts w:hint="eastAsia" w:ascii="宋体" w:hAnsi="宋体" w:cs="宋体"/>
          <w:szCs w:val="21"/>
        </w:rPr>
        <w:t>第六条：本合同的变更必须有双方协商一致，并以书面形式确定。</w:t>
      </w:r>
    </w:p>
    <w:p w14:paraId="1E579019">
      <w:pPr>
        <w:spacing w:line="440" w:lineRule="exact"/>
        <w:ind w:firstLine="420" w:firstLineChars="200"/>
        <w:rPr>
          <w:rFonts w:hint="eastAsia" w:ascii="宋体" w:hAnsi="宋体" w:cs="宋体"/>
          <w:szCs w:val="21"/>
        </w:rPr>
      </w:pPr>
      <w:r>
        <w:rPr>
          <w:rFonts w:hint="eastAsia" w:ascii="宋体" w:hAnsi="宋体" w:cs="宋体"/>
          <w:szCs w:val="21"/>
        </w:rPr>
        <w:t>第七条：甲方的权利和义务：</w:t>
      </w:r>
    </w:p>
    <w:p w14:paraId="46332678">
      <w:pPr>
        <w:spacing w:line="440" w:lineRule="exact"/>
        <w:ind w:firstLine="420" w:firstLineChars="200"/>
        <w:rPr>
          <w:rFonts w:hint="eastAsia" w:ascii="宋体" w:hAnsi="宋体" w:cs="宋体"/>
          <w:szCs w:val="21"/>
        </w:rPr>
      </w:pPr>
      <w:r>
        <w:rPr>
          <w:rFonts w:hint="eastAsia" w:ascii="宋体" w:hAnsi="宋体" w:cs="宋体"/>
          <w:szCs w:val="21"/>
        </w:rPr>
        <w:t>1.甲方有权向乙方询问技术服务工作进展情况及相关的内容，乙方应及时将该工作进度及相关内容反馈甲方。</w:t>
      </w:r>
    </w:p>
    <w:p w14:paraId="70BFC253">
      <w:pPr>
        <w:spacing w:line="440" w:lineRule="exact"/>
        <w:ind w:firstLine="420" w:firstLineChars="200"/>
        <w:rPr>
          <w:rFonts w:hint="eastAsia" w:ascii="宋体" w:hAnsi="宋体" w:cs="宋体"/>
          <w:szCs w:val="21"/>
        </w:rPr>
      </w:pPr>
      <w:r>
        <w:rPr>
          <w:rFonts w:hint="eastAsia" w:ascii="宋体" w:hAnsi="宋体" w:cs="宋体"/>
          <w:szCs w:val="21"/>
        </w:rPr>
        <w:t>2.甲方有权监督、检查乙方的技术服务工作，并对乙方的技术履务工作提出意见和建议。</w:t>
      </w:r>
    </w:p>
    <w:p w14:paraId="4BD59077">
      <w:pPr>
        <w:spacing w:line="440" w:lineRule="exact"/>
        <w:ind w:firstLine="420" w:firstLineChars="200"/>
        <w:rPr>
          <w:rFonts w:hint="eastAsia" w:ascii="宋体" w:hAnsi="宋体" w:cs="宋体"/>
          <w:szCs w:val="21"/>
        </w:rPr>
      </w:pPr>
      <w:r>
        <w:rPr>
          <w:rFonts w:hint="eastAsia" w:ascii="宋体" w:hAnsi="宋体" w:cs="宋体"/>
          <w:szCs w:val="21"/>
        </w:rPr>
        <w:t>3.甲方应积极配合协助乙方完成技术服务工作，并为乙方提供工作条件和技术资料。</w:t>
      </w:r>
    </w:p>
    <w:p w14:paraId="0A8C51EC">
      <w:pPr>
        <w:spacing w:line="440" w:lineRule="exact"/>
        <w:ind w:firstLine="420" w:firstLineChars="200"/>
        <w:rPr>
          <w:rFonts w:hint="eastAsia" w:ascii="宋体" w:hAnsi="宋体" w:cs="宋体"/>
          <w:szCs w:val="21"/>
        </w:rPr>
      </w:pPr>
      <w:r>
        <w:rPr>
          <w:rFonts w:hint="eastAsia" w:ascii="宋体" w:hAnsi="宋体" w:cs="宋体"/>
          <w:szCs w:val="21"/>
        </w:rPr>
        <w:t>4.甲方有权接收乙方交付的技术服务成果，并享有该技术服务成果的财产权及知识产权。</w:t>
      </w:r>
    </w:p>
    <w:p w14:paraId="4216B0E3">
      <w:pPr>
        <w:spacing w:line="440" w:lineRule="exact"/>
        <w:ind w:firstLine="420" w:firstLineChars="200"/>
        <w:rPr>
          <w:rFonts w:hint="eastAsia" w:ascii="宋体" w:hAnsi="宋体" w:cs="宋体"/>
          <w:szCs w:val="21"/>
        </w:rPr>
      </w:pPr>
      <w:r>
        <w:rPr>
          <w:rFonts w:hint="eastAsia" w:ascii="宋体" w:hAnsi="宋体" w:cs="宋体"/>
          <w:szCs w:val="21"/>
        </w:rPr>
        <w:t>5.甲方应按照合同约定，及时、足额向乙方支付技术服务费用。</w:t>
      </w:r>
    </w:p>
    <w:p w14:paraId="694E2E4F">
      <w:pPr>
        <w:spacing w:line="440" w:lineRule="exact"/>
        <w:ind w:firstLine="420" w:firstLineChars="200"/>
        <w:rPr>
          <w:rFonts w:hint="eastAsia" w:ascii="宋体" w:hAnsi="宋体" w:cs="宋体"/>
          <w:szCs w:val="21"/>
        </w:rPr>
      </w:pPr>
      <w:r>
        <w:rPr>
          <w:rFonts w:hint="eastAsia" w:ascii="宋体" w:hAnsi="宋体" w:cs="宋体"/>
          <w:szCs w:val="21"/>
        </w:rPr>
        <w:t>第八条：乙方的权利和义务</w:t>
      </w:r>
    </w:p>
    <w:p w14:paraId="3E67C651">
      <w:pPr>
        <w:spacing w:line="440" w:lineRule="exact"/>
        <w:ind w:firstLine="420" w:firstLineChars="200"/>
        <w:rPr>
          <w:rFonts w:hint="eastAsia" w:ascii="宋体" w:hAnsi="宋体" w:cs="宋体"/>
          <w:szCs w:val="21"/>
        </w:rPr>
      </w:pPr>
      <w:r>
        <w:rPr>
          <w:rFonts w:hint="eastAsia" w:ascii="宋体" w:hAnsi="宋体" w:cs="宋体"/>
          <w:szCs w:val="21"/>
        </w:rPr>
        <w:t>1.乙方的权利和义务：乙方应当按照国家、河南省和平顶山市有关的法律、法规、规范、标准、规程、政策和甲方提出的要求完成技术服务工作。同时，乙方应当参加相关部门组织的专家评审验收，并根据专家评审意见进行修改完善，直至通过专家评审验收。</w:t>
      </w:r>
    </w:p>
    <w:p w14:paraId="1B6EB1A8">
      <w:pPr>
        <w:spacing w:line="440" w:lineRule="exact"/>
        <w:ind w:firstLine="420" w:firstLineChars="200"/>
        <w:rPr>
          <w:rFonts w:hint="eastAsia" w:ascii="宋体" w:hAnsi="宋体" w:cs="宋体"/>
          <w:szCs w:val="21"/>
        </w:rPr>
      </w:pPr>
      <w:r>
        <w:rPr>
          <w:rFonts w:hint="eastAsia" w:ascii="宋体" w:hAnsi="宋体" w:cs="宋体"/>
          <w:szCs w:val="21"/>
        </w:rPr>
        <w:t>2.乙方应当建立健全质量控制体系，加强完善技术服务过程管理，提高技术服务要求，确保技术服务工作符合合同约定技术规范标准和甲方提出的要求。</w:t>
      </w:r>
    </w:p>
    <w:p w14:paraId="08B86A65">
      <w:pPr>
        <w:spacing w:line="440" w:lineRule="exact"/>
        <w:ind w:firstLine="420" w:firstLineChars="200"/>
        <w:rPr>
          <w:rFonts w:hint="eastAsia" w:ascii="宋体" w:hAnsi="宋体" w:cs="宋体"/>
          <w:szCs w:val="21"/>
        </w:rPr>
      </w:pPr>
      <w:r>
        <w:rPr>
          <w:rFonts w:hint="eastAsia" w:ascii="宋体" w:hAnsi="宋体" w:cs="宋体"/>
          <w:szCs w:val="21"/>
        </w:rPr>
        <w:t>3.乙方应当制定并严格执行工作进度计划，合理分解进度目标，科学编制阶段性进度计划，保证按照本合同约定的技术服务进度完成技术服务工作。</w:t>
      </w:r>
    </w:p>
    <w:p w14:paraId="75172835">
      <w:pPr>
        <w:spacing w:line="440" w:lineRule="exact"/>
        <w:ind w:firstLine="420" w:firstLineChars="200"/>
        <w:rPr>
          <w:rFonts w:hint="eastAsia" w:ascii="宋体" w:hAnsi="宋体" w:cs="宋体"/>
          <w:szCs w:val="21"/>
        </w:rPr>
      </w:pPr>
      <w:r>
        <w:rPr>
          <w:rFonts w:hint="eastAsia" w:ascii="宋体" w:hAnsi="宋体" w:cs="宋体"/>
          <w:szCs w:val="21"/>
        </w:rPr>
        <w:t>4.技术服务要求期限内，乙方应根据甲方要求在甲方指定的合理期限内无偿对技术服务的内容进行调整完善。</w:t>
      </w:r>
    </w:p>
    <w:p w14:paraId="00831617">
      <w:pPr>
        <w:spacing w:line="440" w:lineRule="exact"/>
        <w:ind w:firstLine="420" w:firstLineChars="200"/>
        <w:rPr>
          <w:rFonts w:hint="eastAsia" w:ascii="宋体" w:hAnsi="宋体" w:cs="宋体"/>
          <w:szCs w:val="21"/>
        </w:rPr>
      </w:pPr>
      <w:r>
        <w:rPr>
          <w:rFonts w:hint="eastAsia" w:ascii="宋体" w:hAnsi="宋体" w:cs="宋体"/>
          <w:szCs w:val="21"/>
        </w:rPr>
        <w:t>5.本项目形成数据和报告的知识产权归甲方所有，未经甲方书面同意，乙方不得修改、翻译、注释或向公众展示、发表文件中方案及其复制品。</w:t>
      </w:r>
    </w:p>
    <w:p w14:paraId="6DE57A90">
      <w:pPr>
        <w:spacing w:line="440" w:lineRule="exact"/>
        <w:ind w:firstLine="420" w:firstLineChars="200"/>
        <w:rPr>
          <w:rFonts w:hint="eastAsia" w:ascii="宋体" w:hAnsi="宋体" w:cs="宋体"/>
          <w:szCs w:val="21"/>
        </w:rPr>
      </w:pPr>
      <w:r>
        <w:rPr>
          <w:rFonts w:hint="eastAsia" w:ascii="宋体" w:hAnsi="宋体" w:cs="宋体"/>
          <w:szCs w:val="21"/>
        </w:rPr>
        <w:t>6.未经甲方书面同意，乙方不得将本合同项下部分或全部服务工作转由第三人承担。</w:t>
      </w:r>
    </w:p>
    <w:p w14:paraId="2B830030">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第九条、双方确定，在本合同有效期内，甲方指定</w:t>
      </w:r>
      <w:r>
        <w:rPr>
          <w:rFonts w:hint="eastAsia" w:ascii="宋体" w:hAnsi="宋体" w:cs="宋体"/>
          <w:kern w:val="0"/>
          <w:szCs w:val="21"/>
          <w:u w:val="single"/>
          <w:lang w:bidi="ar"/>
        </w:rPr>
        <w:t xml:space="preserve">   </w:t>
      </w:r>
      <w:r>
        <w:rPr>
          <w:rFonts w:hint="eastAsia" w:ascii="宋体" w:hAnsi="宋体" w:cs="宋体"/>
          <w:kern w:val="0"/>
          <w:szCs w:val="21"/>
          <w:lang w:bidi="ar"/>
        </w:rPr>
        <w:t>为甲方项目联系人，乙方指定</w:t>
      </w:r>
      <w:r>
        <w:rPr>
          <w:rFonts w:hint="eastAsia" w:ascii="宋体" w:hAnsi="宋体" w:cs="宋体"/>
          <w:kern w:val="0"/>
          <w:szCs w:val="21"/>
          <w:u w:val="single"/>
          <w:lang w:bidi="ar"/>
        </w:rPr>
        <w:t xml:space="preserve">   </w:t>
      </w:r>
      <w:r>
        <w:rPr>
          <w:rFonts w:hint="eastAsia" w:ascii="宋体" w:hAnsi="宋体" w:cs="宋体"/>
          <w:kern w:val="0"/>
          <w:szCs w:val="21"/>
          <w:lang w:bidi="ar"/>
        </w:rPr>
        <w:t>为乙方项目联系人。</w:t>
      </w:r>
    </w:p>
    <w:p w14:paraId="15DE3ED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项目联系人承担以下责任：</w:t>
      </w:r>
    </w:p>
    <w:p w14:paraId="01AA0F26">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1.及时沟通工作进展情况；</w:t>
      </w:r>
    </w:p>
    <w:p w14:paraId="738689E1">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2.及时沟通双方需求变化。</w:t>
      </w:r>
    </w:p>
    <w:p w14:paraId="4F072ED9">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一方变更项目联系人的，应当及时以书面形式通知另一方。未及时通知并影响本合同履行或造成损失的，应承担相关的责任。</w:t>
      </w:r>
    </w:p>
    <w:p w14:paraId="34BA688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条、由于不可抗力的原因不能履行合同时，应及时向对方通报不能履行或不能完全履行的理由，在取得有关权威部门的证明以后，允许延期履行、部分履行或者不履行合同，并根据情况可部分或全部免予承担违约责任。</w:t>
      </w:r>
    </w:p>
    <w:p w14:paraId="57FAE13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第十一条：双方因履行本合同而发生的争议，应协商、调解解决。协商、调解不成的，约定由项目所在地仲裁委员会仲裁。</w:t>
      </w:r>
    </w:p>
    <w:p w14:paraId="43425366">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第十二条：双方约定本合同其他相关事项为：</w:t>
      </w:r>
    </w:p>
    <w:p w14:paraId="7875CB38">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本合同约定的书面通知可以当面递交、邮寄送达或电子邮箱送达。当面递交通知的，接收人应当签收回执：邮寄送达的通知，其送达地址应为本合同签署页</w:t>
      </w:r>
    </w:p>
    <w:p w14:paraId="6D8DBD4B">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第十三条：本合同自签字之日起生效，甲乙双方均不得随意变更或解除合同。</w:t>
      </w:r>
    </w:p>
    <w:p w14:paraId="2CFE31B8">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第十四条：合同如有未尽事宜，须经甲乙双方共同协商，做出补充约定，补充约定与本合同具有同等法律效力。</w:t>
      </w:r>
    </w:p>
    <w:p w14:paraId="422BEAB1">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第十五条：本合同一式五份，甲、乙双方各执二份，监督部门一份。</w:t>
      </w:r>
    </w:p>
    <w:p w14:paraId="4023A20F">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第十六条、合同生效</w:t>
      </w:r>
    </w:p>
    <w:p w14:paraId="5DE2CC11">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合同订立时间：</w:t>
      </w:r>
      <w:r>
        <w:rPr>
          <w:rFonts w:hint="eastAsia" w:ascii="宋体" w:hAnsi="宋体" w:cs="宋体"/>
          <w:szCs w:val="21"/>
          <w:u w:val="single"/>
        </w:rPr>
        <w:t>　　　</w:t>
      </w:r>
      <w:r>
        <w:rPr>
          <w:rFonts w:hint="eastAsia" w:ascii="宋体" w:hAnsi="宋体" w:cs="宋体"/>
          <w:kern w:val="0"/>
          <w:szCs w:val="21"/>
          <w:lang w:bidi="ar"/>
        </w:rPr>
        <w:t>年</w:t>
      </w:r>
      <w:r>
        <w:rPr>
          <w:rFonts w:hint="eastAsia" w:ascii="宋体" w:hAnsi="宋体" w:cs="宋体"/>
          <w:szCs w:val="21"/>
          <w:u w:val="single"/>
        </w:rPr>
        <w:t>　　　</w:t>
      </w:r>
      <w:r>
        <w:rPr>
          <w:rFonts w:hint="eastAsia" w:ascii="宋体" w:hAnsi="宋体" w:cs="宋体"/>
          <w:kern w:val="0"/>
          <w:szCs w:val="21"/>
          <w:lang w:bidi="ar"/>
        </w:rPr>
        <w:t>月</w:t>
      </w:r>
      <w:r>
        <w:rPr>
          <w:rFonts w:hint="eastAsia" w:ascii="宋体" w:hAnsi="宋体" w:cs="宋体"/>
          <w:szCs w:val="21"/>
          <w:u w:val="single"/>
        </w:rPr>
        <w:t>　　　</w:t>
      </w:r>
      <w:r>
        <w:rPr>
          <w:rFonts w:hint="eastAsia" w:ascii="宋体" w:hAnsi="宋体" w:cs="宋体"/>
          <w:kern w:val="0"/>
          <w:szCs w:val="21"/>
          <w:lang w:bidi="ar"/>
        </w:rPr>
        <w:t>日</w:t>
      </w:r>
    </w:p>
    <w:p w14:paraId="6B5535FA">
      <w:pPr>
        <w:spacing w:line="440" w:lineRule="exact"/>
        <w:ind w:firstLine="420" w:firstLineChars="200"/>
        <w:rPr>
          <w:rFonts w:hint="eastAsia" w:ascii="宋体" w:hAnsi="宋体" w:cs="宋体"/>
          <w:szCs w:val="21"/>
          <w:u w:val="single"/>
        </w:rPr>
      </w:pPr>
      <w:r>
        <w:rPr>
          <w:rFonts w:hint="eastAsia" w:ascii="宋体" w:hAnsi="宋体" w:cs="宋体"/>
          <w:kern w:val="0"/>
          <w:szCs w:val="21"/>
          <w:lang w:bidi="ar"/>
        </w:rPr>
        <w:t xml:space="preserve">合同订立地点： </w:t>
      </w:r>
      <w:r>
        <w:rPr>
          <w:rFonts w:hint="eastAsia" w:ascii="宋体" w:hAnsi="宋体" w:cs="宋体"/>
          <w:szCs w:val="21"/>
          <w:u w:val="single"/>
        </w:rPr>
        <w:t>　                　　</w:t>
      </w:r>
    </w:p>
    <w:p w14:paraId="28D354CD">
      <w:pPr>
        <w:spacing w:line="440" w:lineRule="exact"/>
        <w:ind w:firstLine="420" w:firstLineChars="200"/>
        <w:rPr>
          <w:rFonts w:hint="eastAsia" w:ascii="宋体" w:hAnsi="宋体" w:cs="宋体"/>
          <w:kern w:val="0"/>
          <w:szCs w:val="21"/>
          <w:lang w:bidi="ar"/>
        </w:rPr>
      </w:pPr>
      <w:r>
        <w:rPr>
          <w:rFonts w:hint="eastAsia" w:ascii="宋体" w:hAnsi="宋体" w:cs="宋体"/>
          <w:kern w:val="0"/>
          <w:szCs w:val="21"/>
          <w:lang w:bidi="ar"/>
        </w:rPr>
        <w:t>本合同双方约定：经双方盖章后生效。</w:t>
      </w:r>
    </w:p>
    <w:p w14:paraId="6AFED9F7">
      <w:pPr>
        <w:spacing w:line="440" w:lineRule="exact"/>
        <w:rPr>
          <w:rFonts w:hint="eastAsia" w:ascii="宋体" w:hAnsi="宋体" w:cs="宋体"/>
          <w:szCs w:val="21"/>
        </w:rPr>
      </w:pPr>
    </w:p>
    <w:p w14:paraId="31BDA59A">
      <w:pPr>
        <w:spacing w:line="440" w:lineRule="exact"/>
        <w:rPr>
          <w:rFonts w:hint="eastAsia" w:ascii="宋体" w:hAnsi="宋体" w:cs="宋体"/>
          <w:szCs w:val="21"/>
        </w:rPr>
      </w:pPr>
      <w:r>
        <w:rPr>
          <w:rFonts w:hint="eastAsia" w:ascii="宋体" w:hAnsi="宋体" w:cs="宋体"/>
          <w:szCs w:val="21"/>
        </w:rPr>
        <w:t>甲方：</w:t>
      </w:r>
      <w:r>
        <w:rPr>
          <w:rFonts w:hint="eastAsia" w:ascii="宋体" w:hAnsi="宋体" w:cs="宋体"/>
          <w:szCs w:val="21"/>
          <w:u w:val="single"/>
        </w:rPr>
        <w:t>　　　　　　</w:t>
      </w:r>
      <w:r>
        <w:rPr>
          <w:rFonts w:hint="eastAsia" w:ascii="宋体" w:hAnsi="宋体" w:cs="宋体"/>
          <w:szCs w:val="21"/>
        </w:rPr>
        <w:t>（盖单位章）　　　乙方：</w:t>
      </w:r>
      <w:r>
        <w:rPr>
          <w:rFonts w:hint="eastAsia" w:ascii="宋体" w:hAnsi="宋体" w:cs="宋体"/>
          <w:szCs w:val="21"/>
          <w:u w:val="single"/>
        </w:rPr>
        <w:t>　　　　　　</w:t>
      </w:r>
      <w:r>
        <w:rPr>
          <w:rFonts w:hint="eastAsia" w:ascii="宋体" w:hAnsi="宋体" w:cs="宋体"/>
          <w:szCs w:val="21"/>
        </w:rPr>
        <w:t>（盖单位章）</w:t>
      </w:r>
    </w:p>
    <w:p w14:paraId="55A46E38">
      <w:pPr>
        <w:spacing w:line="440" w:lineRule="exact"/>
        <w:rPr>
          <w:rFonts w:hint="eastAsia" w:ascii="宋体" w:hAnsi="宋体" w:cs="宋体"/>
          <w:szCs w:val="21"/>
        </w:rPr>
      </w:pPr>
      <w:r>
        <w:rPr>
          <w:rFonts w:hint="eastAsia" w:ascii="宋体" w:hAnsi="宋体" w:cs="宋体"/>
          <w:szCs w:val="21"/>
          <w:lang w:bidi="ar"/>
        </w:rPr>
        <w:t>住所地址：</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bidi="ar"/>
        </w:rPr>
        <w:t>住所地址：</w:t>
      </w:r>
      <w:r>
        <w:rPr>
          <w:rFonts w:hint="eastAsia" w:ascii="宋体" w:hAnsi="宋体" w:cs="宋体"/>
          <w:szCs w:val="21"/>
          <w:u w:val="single"/>
        </w:rPr>
        <w:t>　　　　　　</w:t>
      </w:r>
    </w:p>
    <w:p w14:paraId="147C68EA">
      <w:pPr>
        <w:spacing w:line="440" w:lineRule="exact"/>
        <w:rPr>
          <w:rFonts w:hint="eastAsia" w:ascii="宋体" w:hAnsi="宋体" w:cs="宋体"/>
          <w:szCs w:val="21"/>
        </w:rPr>
      </w:pPr>
      <w:r>
        <w:rPr>
          <w:rFonts w:hint="eastAsia" w:ascii="宋体" w:hAnsi="宋体" w:cs="宋体"/>
          <w:szCs w:val="21"/>
          <w:lang w:bidi="ar"/>
        </w:rPr>
        <w:t>法定代表人：</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bidi="ar"/>
        </w:rPr>
        <w:t>法定代表人：</w:t>
      </w:r>
      <w:r>
        <w:rPr>
          <w:rFonts w:hint="eastAsia" w:ascii="宋体" w:hAnsi="宋体" w:cs="宋体"/>
          <w:szCs w:val="21"/>
          <w:u w:val="single"/>
        </w:rPr>
        <w:t xml:space="preserve">　　　　　　 </w:t>
      </w:r>
    </w:p>
    <w:p w14:paraId="4F1B3AB1">
      <w:pPr>
        <w:spacing w:line="440" w:lineRule="exact"/>
        <w:rPr>
          <w:rFonts w:hint="eastAsia" w:ascii="宋体" w:hAnsi="宋体" w:cs="宋体"/>
          <w:szCs w:val="21"/>
          <w:lang w:bidi="ar"/>
        </w:rPr>
      </w:pPr>
      <w:r>
        <w:rPr>
          <w:rFonts w:hint="eastAsia" w:ascii="宋体" w:hAnsi="宋体" w:cs="宋体"/>
          <w:szCs w:val="21"/>
          <w:lang w:bidi="ar"/>
        </w:rPr>
        <w:t>其委托代理人：</w:t>
      </w:r>
      <w:r>
        <w:rPr>
          <w:rFonts w:hint="eastAsia" w:ascii="宋体" w:hAnsi="宋体" w:cs="宋体"/>
          <w:szCs w:val="21"/>
          <w:u w:val="single"/>
        </w:rPr>
        <w:t xml:space="preserve">　　　　　　 </w:t>
      </w:r>
      <w:r>
        <w:rPr>
          <w:rFonts w:hint="eastAsia" w:ascii="宋体" w:hAnsi="宋体" w:cs="宋体"/>
          <w:szCs w:val="21"/>
          <w:lang w:bidi="ar"/>
        </w:rPr>
        <w:t>　    　 委托代理人：</w:t>
      </w:r>
      <w:r>
        <w:rPr>
          <w:rFonts w:hint="eastAsia" w:ascii="宋体" w:hAnsi="宋体" w:cs="宋体"/>
          <w:szCs w:val="21"/>
          <w:u w:val="single"/>
        </w:rPr>
        <w:t xml:space="preserve">　　　  　　　 </w:t>
      </w:r>
    </w:p>
    <w:p w14:paraId="2ED3B394">
      <w:pPr>
        <w:spacing w:line="440" w:lineRule="exact"/>
        <w:rPr>
          <w:rFonts w:hint="eastAsia" w:ascii="宋体" w:hAnsi="宋体" w:cs="宋体"/>
          <w:szCs w:val="21"/>
        </w:rPr>
      </w:pPr>
      <w:r>
        <w:rPr>
          <w:rFonts w:hint="eastAsia" w:ascii="宋体" w:hAnsi="宋体" w:cs="宋体"/>
          <w:szCs w:val="21"/>
          <w:lang w:bidi="ar"/>
        </w:rPr>
        <w:t>电话：</w:t>
      </w:r>
      <w:r>
        <w:rPr>
          <w:rFonts w:hint="eastAsia" w:ascii="宋体" w:hAnsi="宋体" w:cs="宋体"/>
          <w:szCs w:val="21"/>
          <w:u w:val="single"/>
        </w:rPr>
        <w:t xml:space="preserve">　　　　　        　 </w:t>
      </w:r>
      <w:r>
        <w:rPr>
          <w:rFonts w:hint="eastAsia" w:ascii="宋体" w:hAnsi="宋体" w:cs="宋体"/>
          <w:szCs w:val="21"/>
          <w:lang w:bidi="ar"/>
        </w:rPr>
        <w:t>　    　 电话：</w:t>
      </w:r>
      <w:r>
        <w:rPr>
          <w:rFonts w:hint="eastAsia" w:ascii="宋体" w:hAnsi="宋体" w:cs="宋体"/>
          <w:szCs w:val="21"/>
          <w:u w:val="single"/>
        </w:rPr>
        <w:t xml:space="preserve">　    　             </w:t>
      </w:r>
    </w:p>
    <w:p w14:paraId="5FFA51DB">
      <w:pPr>
        <w:spacing w:line="440" w:lineRule="exact"/>
        <w:rPr>
          <w:rFonts w:hint="eastAsia" w:ascii="宋体" w:hAnsi="宋体" w:cs="宋体"/>
          <w:szCs w:val="21"/>
        </w:rPr>
      </w:pPr>
      <w:r>
        <w:rPr>
          <w:rFonts w:hint="eastAsia" w:ascii="宋体" w:hAnsi="宋体" w:cs="宋体"/>
          <w:szCs w:val="21"/>
          <w:lang w:bidi="ar"/>
        </w:rPr>
        <w:t>纳税人识别号：</w:t>
      </w:r>
      <w:r>
        <w:rPr>
          <w:rFonts w:hint="eastAsia" w:ascii="宋体" w:hAnsi="宋体" w:cs="宋体"/>
          <w:szCs w:val="21"/>
          <w:u w:val="single"/>
        </w:rPr>
        <w:t xml:space="preserve">　　　　　　 </w:t>
      </w:r>
      <w:r>
        <w:rPr>
          <w:rFonts w:hint="eastAsia" w:ascii="宋体" w:hAnsi="宋体" w:cs="宋体"/>
          <w:szCs w:val="21"/>
          <w:lang w:bidi="ar"/>
        </w:rPr>
        <w:t>　       纳税人识别号：</w:t>
      </w:r>
      <w:r>
        <w:rPr>
          <w:rFonts w:hint="eastAsia" w:ascii="宋体" w:hAnsi="宋体" w:cs="宋体"/>
          <w:szCs w:val="21"/>
          <w:u w:val="single"/>
        </w:rPr>
        <w:t xml:space="preserve">　　　　　　 </w:t>
      </w:r>
    </w:p>
    <w:p w14:paraId="6EE83CEA">
      <w:pPr>
        <w:spacing w:line="440" w:lineRule="exact"/>
        <w:rPr>
          <w:rFonts w:hint="eastAsia" w:ascii="宋体" w:hAnsi="宋体" w:cs="宋体"/>
          <w:szCs w:val="21"/>
          <w:lang w:bidi="ar"/>
        </w:rPr>
      </w:pPr>
      <w:r>
        <w:rPr>
          <w:rFonts w:hint="eastAsia" w:ascii="宋体" w:hAnsi="宋体" w:cs="宋体"/>
          <w:szCs w:val="21"/>
          <w:lang w:bidi="ar"/>
        </w:rPr>
        <w:t>开户银行：</w:t>
      </w:r>
      <w:r>
        <w:rPr>
          <w:rFonts w:hint="eastAsia" w:ascii="宋体" w:hAnsi="宋体" w:cs="宋体"/>
          <w:szCs w:val="21"/>
          <w:u w:val="single"/>
        </w:rPr>
        <w:t xml:space="preserve">　　　　　    　 </w:t>
      </w:r>
      <w:r>
        <w:rPr>
          <w:rFonts w:hint="eastAsia" w:ascii="宋体" w:hAnsi="宋体" w:cs="宋体"/>
          <w:szCs w:val="21"/>
          <w:lang w:bidi="ar"/>
        </w:rPr>
        <w:t>　　　　 开户银行：</w:t>
      </w:r>
      <w:r>
        <w:rPr>
          <w:rFonts w:hint="eastAsia" w:ascii="宋体" w:hAnsi="宋体" w:cs="宋体"/>
          <w:szCs w:val="21"/>
          <w:u w:val="single"/>
        </w:rPr>
        <w:t xml:space="preserve">　　　　         </w:t>
      </w:r>
    </w:p>
    <w:p w14:paraId="15DA26D9">
      <w:pPr>
        <w:spacing w:line="440" w:lineRule="exact"/>
        <w:rPr>
          <w:rFonts w:hint="eastAsia" w:ascii="宋体" w:hAnsi="宋体" w:cs="宋体"/>
          <w:szCs w:val="21"/>
          <w:lang w:bidi="ar"/>
        </w:rPr>
      </w:pPr>
      <w:r>
        <w:rPr>
          <w:rFonts w:hint="eastAsia" w:ascii="宋体" w:hAnsi="宋体" w:cs="宋体"/>
          <w:szCs w:val="21"/>
          <w:lang w:bidi="ar"/>
        </w:rPr>
        <w:t>账号：</w:t>
      </w:r>
      <w:r>
        <w:rPr>
          <w:rFonts w:hint="eastAsia" w:ascii="宋体" w:hAnsi="宋体" w:cs="宋体"/>
          <w:szCs w:val="21"/>
          <w:u w:val="single"/>
        </w:rPr>
        <w:t xml:space="preserve">　　　　        　　 </w:t>
      </w:r>
      <w:r>
        <w:rPr>
          <w:rFonts w:hint="eastAsia" w:ascii="宋体" w:hAnsi="宋体" w:cs="宋体"/>
          <w:szCs w:val="21"/>
          <w:lang w:bidi="ar"/>
        </w:rPr>
        <w:t>　　     账号：</w:t>
      </w:r>
      <w:r>
        <w:rPr>
          <w:rFonts w:hint="eastAsia" w:ascii="宋体" w:hAnsi="宋体" w:cs="宋体"/>
          <w:szCs w:val="21"/>
          <w:u w:val="single"/>
        </w:rPr>
        <w:t xml:space="preserve">　　　　　　         </w:t>
      </w:r>
    </w:p>
    <w:p w14:paraId="16710FEF">
      <w:pPr>
        <w:spacing w:line="440" w:lineRule="exac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w:t>
      </w:r>
      <w:r>
        <w:rPr>
          <w:rFonts w:hint="eastAsia" w:ascii="宋体" w:hAnsi="宋体" w:cs="宋体"/>
          <w:szCs w:val="21"/>
        </w:rPr>
        <w:t>月</w:t>
      </w:r>
      <w:r>
        <w:rPr>
          <w:rFonts w:hint="eastAsia" w:ascii="宋体" w:hAnsi="宋体" w:cs="宋体"/>
          <w:szCs w:val="21"/>
          <w:u w:val="single"/>
        </w:rPr>
        <w:t>　    　</w:t>
      </w:r>
      <w:r>
        <w:rPr>
          <w:rFonts w:hint="eastAsia" w:ascii="宋体" w:hAnsi="宋体" w:cs="宋体"/>
          <w:szCs w:val="21"/>
        </w:rPr>
        <w:t>日</w:t>
      </w:r>
    </w:p>
    <w:p w14:paraId="668FF51E">
      <w:pPr>
        <w:spacing w:line="440" w:lineRule="exact"/>
        <w:rPr>
          <w:rFonts w:hint="eastAsia" w:ascii="宋体" w:hAnsi="宋体" w:cs="宋体"/>
          <w:szCs w:val="21"/>
        </w:rPr>
      </w:pPr>
    </w:p>
    <w:p w14:paraId="4292FF6D">
      <w:pPr>
        <w:jc w:val="center"/>
        <w:rPr>
          <w:szCs w:val="20"/>
        </w:rPr>
      </w:pPr>
      <w:r>
        <w:rPr>
          <w:rFonts w:hint="eastAsia" w:ascii="宋体" w:hAnsi="宋体" w:cs="宋体"/>
          <w:szCs w:val="36"/>
        </w:rPr>
        <w:br w:type="page"/>
      </w:r>
      <w:bookmarkEnd w:id="258"/>
      <w:bookmarkEnd w:id="259"/>
      <w:bookmarkEnd w:id="260"/>
      <w:bookmarkEnd w:id="261"/>
      <w:r>
        <w:rPr>
          <w:rFonts w:hint="eastAsia"/>
          <w:b/>
          <w:bCs/>
          <w:sz w:val="32"/>
          <w:szCs w:val="40"/>
        </w:rPr>
        <w:t>第五章  采购项目清单和技术要求</w:t>
      </w:r>
    </w:p>
    <w:p w14:paraId="4422A75C">
      <w:pPr>
        <w:rPr>
          <w:rFonts w:hint="eastAsia" w:ascii="宋体" w:hAnsi="宋体" w:cs="宋体"/>
          <w:sz w:val="28"/>
          <w:szCs w:val="28"/>
        </w:rPr>
      </w:pPr>
      <w:r>
        <w:rPr>
          <w:rFonts w:hint="eastAsia" w:ascii="宋体" w:hAnsi="宋体" w:cs="宋体"/>
          <w:b/>
          <w:bCs/>
          <w:sz w:val="28"/>
          <w:szCs w:val="28"/>
        </w:rPr>
        <w:t>主要采购内容</w:t>
      </w:r>
      <w:r>
        <w:rPr>
          <w:rFonts w:hint="eastAsia" w:ascii="宋体" w:hAnsi="宋体" w:cs="宋体"/>
          <w:sz w:val="28"/>
          <w:szCs w:val="28"/>
        </w:rPr>
        <w:t>：</w:t>
      </w:r>
    </w:p>
    <w:p w14:paraId="52DE4027">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1.鲁山县粮食与物资储备服务中心正源库点、辛集庆丰库点、张良神裕库点及县级监管平台智能化信息监管系统所需的硬件设备采购与安装调试，包括：网络系统、粮情系统及出入库系统、安防系统、指挥系统、视频会议系统、库区本地机房、县级监管平台的建设、运维。</w:t>
      </w:r>
    </w:p>
    <w:p w14:paraId="341B1A57">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需完成与河南省粮食局粮食购销领域信息化监管平台的数据对接和业务互通。</w:t>
      </w:r>
    </w:p>
    <w:p w14:paraId="4F8976A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2.运维服务期限：信息化监管系统的3年</w:t>
      </w:r>
      <w:bookmarkStart w:id="262" w:name="OLE_LINK1"/>
      <w:r>
        <w:rPr>
          <w:rFonts w:hint="eastAsia" w:ascii="宋体" w:hAnsi="宋体" w:cs="宋体"/>
          <w:color w:val="000000"/>
          <w:sz w:val="22"/>
          <w:szCs w:val="22"/>
        </w:rPr>
        <w:t>运维服务</w:t>
      </w:r>
      <w:bookmarkEnd w:id="262"/>
      <w:r>
        <w:rPr>
          <w:rFonts w:hint="eastAsia" w:ascii="宋体" w:hAnsi="宋体" w:cs="宋体"/>
          <w:color w:val="000000"/>
          <w:sz w:val="22"/>
          <w:szCs w:val="22"/>
        </w:rPr>
        <w:t>。</w:t>
      </w:r>
    </w:p>
    <w:p w14:paraId="2A5F6129">
      <w:pPr>
        <w:pStyle w:val="31"/>
        <w:rPr>
          <w:rFonts w:hint="eastAsia" w:hAnsi="宋体"/>
          <w:b/>
          <w:bCs/>
          <w:color w:val="auto"/>
          <w:kern w:val="2"/>
          <w:sz w:val="28"/>
          <w:szCs w:val="28"/>
        </w:rPr>
      </w:pPr>
      <w:r>
        <w:rPr>
          <w:rFonts w:hint="eastAsia" w:hAnsi="宋体"/>
          <w:b/>
          <w:bCs/>
          <w:color w:val="auto"/>
          <w:kern w:val="2"/>
          <w:sz w:val="28"/>
          <w:szCs w:val="28"/>
        </w:rPr>
        <w:t>主要技术要求：</w:t>
      </w:r>
    </w:p>
    <w:p w14:paraId="05B2D4AB">
      <w:pPr>
        <w:pStyle w:val="31"/>
        <w:numPr>
          <w:ilvl w:val="0"/>
          <w:numId w:val="2"/>
        </w:numPr>
        <w:rPr>
          <w:rFonts w:hint="eastAsia" w:hAnsi="宋体"/>
          <w:sz w:val="22"/>
          <w:szCs w:val="22"/>
        </w:rPr>
      </w:pPr>
      <w:r>
        <w:rPr>
          <w:rFonts w:hint="eastAsia" w:hAnsi="宋体"/>
          <w:sz w:val="22"/>
          <w:szCs w:val="22"/>
        </w:rPr>
        <w:t>出入库子系统</w:t>
      </w:r>
    </w:p>
    <w:p w14:paraId="2BF056C0">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智能出入库管理将制定一套规范的流程来保证或者进出粮库能按照指定的流程进行，采用无线射频技术、二维码识别技术、车牌自动识别技术等，实现粮食出入库作业过程的自动化控制，出入库作业的每个环节均由相应的专用设备为系统提供真实、准确的数据，以此保障粮食的数量安全。无线射频技术是对粮库出入库业务流程作业效率的一个提升，流程中涉及的车辆信息、粮食信息依靠卡来交流，一车一卡，严格权限管理，即每个操作员只能对自己环节数据进行录入。</w:t>
      </w:r>
    </w:p>
    <w:p w14:paraId="79AD969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整个系统主要功能有：出入库登记、扦样化验、地磅称重、非规范化停车报警、出入库值仓、二次称重、出库核销等。</w:t>
      </w:r>
    </w:p>
    <w:p w14:paraId="00EC929C">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出入库登记：实现对一般农户、粮食经济人、粮食购销企业进行信息登记功能。</w:t>
      </w:r>
    </w:p>
    <w:p w14:paraId="672E22C8">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扦样管理：扦样人员通过手持终端对车辆的标签进行自动识别，然后自动获取扦样任务，成功取样后，将样品装入样品袋，并通过手持终端扫描标签，将标签与身份识别卡绑定。</w:t>
      </w:r>
    </w:p>
    <w:p w14:paraId="3D85AB8D">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检验管理：实现根据样品信息，进行检化验，记录样品已化验的指标结果，确定粮食的等级和质量信息（粮食等级、容重、水分、杂质、不完善粒、价格等信息）。</w:t>
      </w:r>
    </w:p>
    <w:p w14:paraId="2FC5905E">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计量管理：读取身份识别卡，核对车辆、粮食、检验信息，获取汽车衡的计量值，确定车辆的毛重、皮重；通过车辆识别设备自动识别、核对车牌号；对上磅的车辆称重过程使用视频监控设备对车辆及场地的关键部位进行拍照录像；对称重的结果通过语音播报或屏幕显示；依据质检、称重、值仓结果，自动计算扣量，确定净重；根据需要打印检斤单据；业务数据可追溯。</w:t>
      </w:r>
    </w:p>
    <w:p w14:paraId="42807A62">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值仓管理：通过具备NFC功能的手持终端对识别运粮车辆及运粮人基本信息，核对无误后开始进行值仓作业。如果在值仓过程中遇到异常，可以通过手持终端上报异常并获取相应的解决方案。</w:t>
      </w:r>
    </w:p>
    <w:p w14:paraId="1BC58FDD">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结算管理：对待结算的业务进行实时结算（结算数量、单价、结算金额、结算时间、客户名称等信息），并能实现“自动扣量、自动结算”。</w:t>
      </w:r>
    </w:p>
    <w:p w14:paraId="42ED44C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统计分析：查询粮食出入库作业各环节的业务信息；按需提取数据生成各类报表。</w:t>
      </w:r>
    </w:p>
    <w:p w14:paraId="7EF0876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数据上传：在联网条件具备的情况下，与上级部门实现互通对接，与统计报表相关数据实现共享，能够将业务数据自动生成相关数据包。</w:t>
      </w:r>
    </w:p>
    <w:p w14:paraId="505C61A6">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系统管理：包含但不限于补卡管理、移动排队、自助查询等功能。</w:t>
      </w:r>
    </w:p>
    <w:p w14:paraId="208509F9">
      <w:pPr>
        <w:spacing w:line="360" w:lineRule="auto"/>
        <w:ind w:firstLine="420"/>
        <w:jc w:val="left"/>
        <w:rPr>
          <w:rFonts w:hint="eastAsia" w:hAnsi="宋体"/>
          <w:sz w:val="22"/>
          <w:szCs w:val="22"/>
        </w:rPr>
      </w:pPr>
      <w:r>
        <w:rPr>
          <w:rFonts w:hint="eastAsia" w:ascii="宋体" w:hAnsi="宋体" w:cs="宋体"/>
          <w:color w:val="000000"/>
          <w:sz w:val="22"/>
          <w:szCs w:val="22"/>
        </w:rPr>
        <w:t>断网作业：考虑到粮库复杂的作业环境及网络环境，为了避免因网络原因耽误粮库出入粮食作业，要求出入库系统能够在粮库暂时断网的情况下仍然可以离线工作。网络恢复后能够及时的把数据上传到数据中心。</w:t>
      </w:r>
    </w:p>
    <w:p w14:paraId="21AC90D0">
      <w:pPr>
        <w:pStyle w:val="31"/>
        <w:numPr>
          <w:ilvl w:val="0"/>
          <w:numId w:val="2"/>
        </w:numPr>
        <w:rPr>
          <w:rFonts w:hint="eastAsia" w:hAnsi="宋体"/>
          <w:sz w:val="22"/>
          <w:szCs w:val="22"/>
        </w:rPr>
      </w:pPr>
      <w:r>
        <w:rPr>
          <w:rFonts w:hint="eastAsia" w:hAnsi="宋体"/>
          <w:sz w:val="22"/>
          <w:szCs w:val="22"/>
        </w:rPr>
        <w:t>安全生产子系统</w:t>
      </w:r>
    </w:p>
    <w:p w14:paraId="48A14ABA">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智能安防系统主要由两部分组成，一部分是在库区主要进出通道、主要作业点、仓内安装视频监控，另一部分是在化验室、财务室、重要办公场所具备自动报警功能。监控传输网络系统主要作用是接入各类监控资源，为信息管理平台的各项应用提供基础保障，能够更好的服务于各类用户。</w:t>
      </w:r>
    </w:p>
    <w:p w14:paraId="23120F50">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全面覆盖：摄像头覆盖粮库内的主要进出通道、主要作业点及药品库、器械库等重要场所。</w:t>
      </w:r>
    </w:p>
    <w:p w14:paraId="1692B29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系统集成：可以与视频监控、中心机房门禁、自动报警、动力环境等系统整合集成，支持配置报警联动预案，联动动作有：客户端联动、录像联动、云台联动、告警输出、告警上墙、短信联动、抓图联动，接口符合国家相关标准。</w:t>
      </w:r>
    </w:p>
    <w:p w14:paraId="468C5184">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支持定时录像、报警录像等录像模式，不同类型录像以不同颜色进行区分。</w:t>
      </w:r>
    </w:p>
    <w:p w14:paraId="2B7DA40B">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支持大屏拼接、开窗、漫游、预览上墙、回放上墙、报警联动录像上墙、支持在客户端上查看屏上的实时画面，并查看监控点名称、分辨率、码率、帧率等参数。</w:t>
      </w:r>
    </w:p>
    <w:p w14:paraId="7A26A89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支持对监控点的在线率、录像状况、视频异常数量、视频质量诊断等数据进行统计并可生成报表。</w:t>
      </w:r>
    </w:p>
    <w:p w14:paraId="25D36B51">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支持对监控点、报警器、环境量等设备进行报警配置并产生联动。支持对实时和历史报警警信息进行排序、过滤显示，并对查看的联动录像、报警详情；可导出查询结果。</w:t>
      </w:r>
    </w:p>
    <w:p w14:paraId="0E77CE5F">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支持查询过滤历史告警，用户可以根据检索到的报警信息，查看相关的联动录像、报警详情；支持导出查询结果。</w:t>
      </w:r>
    </w:p>
    <w:p w14:paraId="00CB7548">
      <w:pPr>
        <w:pStyle w:val="100"/>
        <w:spacing w:line="288" w:lineRule="auto"/>
        <w:ind w:firstLine="440"/>
        <w:rPr>
          <w:rFonts w:hint="eastAsia"/>
          <w:sz w:val="22"/>
          <w:szCs w:val="24"/>
        </w:rPr>
      </w:pPr>
      <w:r>
        <w:rPr>
          <w:rFonts w:hint="eastAsia" w:cs="宋体"/>
          <w:kern w:val="2"/>
          <w:sz w:val="22"/>
          <w:szCs w:val="22"/>
        </w:rPr>
        <w:t>系统应符合《视频安防监控系统工程设计规范》（GB 50395）和《安全防范技术工程设计规范》（GB 50348）。</w:t>
      </w:r>
    </w:p>
    <w:p w14:paraId="073A4C20">
      <w:pPr>
        <w:pStyle w:val="31"/>
        <w:numPr>
          <w:ilvl w:val="0"/>
          <w:numId w:val="2"/>
        </w:numPr>
        <w:rPr>
          <w:rFonts w:hint="eastAsia" w:hAnsi="宋体"/>
          <w:sz w:val="22"/>
          <w:szCs w:val="22"/>
        </w:rPr>
      </w:pPr>
      <w:r>
        <w:rPr>
          <w:rFonts w:hint="eastAsia" w:hAnsi="宋体"/>
          <w:sz w:val="22"/>
          <w:szCs w:val="22"/>
        </w:rPr>
        <w:t>粮情检测系统</w:t>
      </w:r>
    </w:p>
    <w:p w14:paraId="57A2E63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系统前端粮温采集检测使用，传感器采用美国原装进口DS18B20，结合库区实际情况分别采用4点数字测温电缆，内置钢丝，镀锡铜线为导体材料，满足抗拉、抗压、抗老化、耐低温的使用要求。抗拉强度≥350kg，强度与硬度能够承受入粮与出粮时的强大拉力与压力。传感器、导线完全密封，在熏蒸时能正常测温。每个廒间内只有测温电缆和一个仓内温湿度传感器，每根测温电缆均使用全密封的一体压铸连接件进行连接，最后以一条传输电缆线跟仓外测控单元(RTU)相连(电缆线条数随着仓型的不同而改变)；电缆所用的快速接头为防熏蒸、防腐蚀、抗拉连接器，为适应夏天多雨多雷，电缆护套均采用软质高压聚氯乙烯。</w:t>
      </w:r>
    </w:p>
    <w:p w14:paraId="3CD7C6C6">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仓温、仓湿传感器采用数字式温、湿度一体化探头，防尘、防腐蚀、抗磷化氢（PH3）熏蒸。</w:t>
      </w:r>
    </w:p>
    <w:p w14:paraId="1D02E69E">
      <w:pPr>
        <w:pStyle w:val="31"/>
        <w:ind w:firstLine="420"/>
        <w:rPr>
          <w:sz w:val="22"/>
          <w:szCs w:val="22"/>
        </w:rPr>
      </w:pPr>
      <w:r>
        <w:rPr>
          <w:rFonts w:hint="eastAsia"/>
          <w:color w:val="auto"/>
          <w:sz w:val="22"/>
          <w:szCs w:val="22"/>
        </w:rPr>
        <w:t>系统应遵从《粮油储藏技术规范》（GB/T 29890）标准执行。</w:t>
      </w:r>
    </w:p>
    <w:p w14:paraId="6DECC79D">
      <w:pPr>
        <w:pStyle w:val="31"/>
        <w:numPr>
          <w:ilvl w:val="0"/>
          <w:numId w:val="2"/>
        </w:numPr>
        <w:rPr>
          <w:rFonts w:hint="eastAsia" w:hAnsi="宋体"/>
          <w:sz w:val="22"/>
          <w:szCs w:val="22"/>
        </w:rPr>
      </w:pPr>
      <w:r>
        <w:rPr>
          <w:rFonts w:hint="eastAsia" w:hAnsi="宋体"/>
          <w:sz w:val="22"/>
          <w:szCs w:val="22"/>
        </w:rPr>
        <w:t>数据传输、采集</w:t>
      </w:r>
    </w:p>
    <w:p w14:paraId="796E0171">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库区内建设数据中心（中心机室），中心机房是智能仓储相关子系统的控制中心，中心机房将粮库的网络设备、计算机服务器、安防监控设备、粮情测控控制主机、各个应用系统的服务器、网络安全设备、数据存储设备集中到一起，打破过去各设备独立运行、相互隔离、信息孤岛的局面。通过综合管理平台汇聚库内智能出入库系统、多功能粮情测控系统、智能通风、智能安防系统，实现统一监管、协同工作。</w:t>
      </w:r>
    </w:p>
    <w:p w14:paraId="02AE365E">
      <w:pPr>
        <w:pStyle w:val="100"/>
        <w:spacing w:line="288" w:lineRule="auto"/>
        <w:ind w:firstLine="440"/>
        <w:rPr>
          <w:rFonts w:hint="eastAsia" w:cs="宋体"/>
          <w:sz w:val="22"/>
          <w:szCs w:val="22"/>
        </w:rPr>
      </w:pPr>
      <w:r>
        <w:rPr>
          <w:rFonts w:hint="eastAsia" w:cs="宋体"/>
          <w:color w:val="auto"/>
          <w:sz w:val="22"/>
          <w:szCs w:val="22"/>
        </w:rPr>
        <w:t>机房工程应符合GB 50174 《电子信息系统机房设计规范》的规定；防雷接地应符合GB 50343《建筑物电子信息系统防雷技术规范》的规定。</w:t>
      </w:r>
    </w:p>
    <w:p w14:paraId="142356A5">
      <w:pPr>
        <w:pStyle w:val="31"/>
        <w:numPr>
          <w:ilvl w:val="0"/>
          <w:numId w:val="2"/>
        </w:numPr>
        <w:rPr>
          <w:rFonts w:hint="eastAsia" w:hAnsi="宋体"/>
          <w:sz w:val="22"/>
          <w:szCs w:val="22"/>
        </w:rPr>
      </w:pPr>
      <w:r>
        <w:rPr>
          <w:rFonts w:hint="eastAsia" w:hAnsi="宋体"/>
          <w:sz w:val="22"/>
          <w:szCs w:val="22"/>
        </w:rPr>
        <w:t>视频会议与指挥系统</w:t>
      </w:r>
    </w:p>
    <w:p w14:paraId="3DE67399">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核心会议功能‌：系统应支持高清视频（1080P及以上）与高保真音频通话，具备稳定的多点控制单元（MCU）或云会议服务能力，以实现多方会议。‌</w:t>
      </w:r>
    </w:p>
    <w:p w14:paraId="2C37B521">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‌互动与协作功能‌：应支持屏幕共享、文档共享、电子白板、实时批注、会议录制与回放等功能。对于高级别会议，可能需支持互动直播服务。‌</w:t>
      </w:r>
    </w:p>
    <w:p w14:paraId="28557CD7">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‌接入与控制‌：系统需兼容多种接入方式，包括专用视频会议终端、桌面电脑、移动设备（手机、平板）等。控制设备应操作简便，支持集中管控。‌</w:t>
      </w:r>
    </w:p>
    <w:p w14:paraId="07FFCE03">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‌管理与调度‌：应提供会议预约、日程管理、参会人管理、会议统计等后台管理功能。</w:t>
      </w:r>
    </w:p>
    <w:p w14:paraId="1257EF1F">
      <w:pPr>
        <w:spacing w:line="360" w:lineRule="auto"/>
        <w:ind w:firstLine="420"/>
        <w:jc w:val="left"/>
        <w:rPr>
          <w:rFonts w:hint="eastAsia" w:ascii="宋体" w:hAnsi="宋体" w:cs="宋体"/>
          <w:color w:val="000000"/>
          <w:sz w:val="22"/>
          <w:szCs w:val="22"/>
        </w:rPr>
      </w:pPr>
      <w:r>
        <w:rPr>
          <w:rFonts w:hint="eastAsia" w:ascii="宋体" w:hAnsi="宋体" w:cs="宋体"/>
          <w:color w:val="000000"/>
          <w:sz w:val="22"/>
          <w:szCs w:val="22"/>
        </w:rPr>
        <w:t>能够无缝接入平顶山市粮食局会议系统。</w:t>
      </w:r>
      <w:bookmarkStart w:id="263" w:name="_Toc119784541"/>
      <w:bookmarkStart w:id="264" w:name="_Toc775"/>
    </w:p>
    <w:p w14:paraId="66EF5111">
      <w:pPr>
        <w:spacing w:line="360" w:lineRule="auto"/>
        <w:ind w:firstLine="420"/>
        <w:jc w:val="left"/>
        <w:rPr>
          <w:rFonts w:hint="eastAsia" w:ascii="宋体" w:hAnsi="宋体" w:cs="宋体"/>
          <w:b/>
          <w:bCs/>
          <w:color w:val="000000"/>
          <w:sz w:val="22"/>
          <w:szCs w:val="22"/>
          <w:lang w:eastAsia="zh-CN"/>
        </w:rPr>
      </w:pPr>
      <w:r>
        <w:rPr>
          <w:rFonts w:hint="eastAsia" w:ascii="宋体" w:hAnsi="宋体" w:cs="宋体"/>
          <w:b/>
          <w:bCs/>
          <w:color w:val="000000"/>
          <w:sz w:val="22"/>
          <w:szCs w:val="22"/>
        </w:rPr>
        <w:t>采购项目清单</w:t>
      </w:r>
      <w:r>
        <w:rPr>
          <w:rFonts w:hint="eastAsia" w:ascii="宋体" w:hAnsi="宋体" w:cs="宋体"/>
          <w:b/>
          <w:bCs/>
          <w:color w:val="000000"/>
          <w:sz w:val="22"/>
          <w:szCs w:val="22"/>
          <w:lang w:eastAsia="zh-CN"/>
        </w:rPr>
        <w:t>详见附件</w:t>
      </w:r>
    </w:p>
    <w:p w14:paraId="2269B5C7">
      <w:pPr>
        <w:rPr>
          <w:rFonts w:hint="eastAsia"/>
          <w:b/>
          <w:bCs/>
          <w:sz w:val="32"/>
          <w:szCs w:val="40"/>
        </w:rPr>
      </w:pPr>
      <w:r>
        <w:rPr>
          <w:rFonts w:hint="eastAsia"/>
          <w:b/>
          <w:bCs/>
          <w:sz w:val="32"/>
          <w:szCs w:val="40"/>
        </w:rPr>
        <w:br w:type="page"/>
      </w:r>
    </w:p>
    <w:p w14:paraId="28212FBF">
      <w:pPr>
        <w:jc w:val="center"/>
        <w:rPr>
          <w:b/>
          <w:bCs/>
          <w:sz w:val="32"/>
          <w:szCs w:val="40"/>
        </w:rPr>
      </w:pPr>
      <w:r>
        <w:rPr>
          <w:rFonts w:hint="eastAsia"/>
          <w:b/>
          <w:bCs/>
          <w:sz w:val="32"/>
          <w:szCs w:val="40"/>
        </w:rPr>
        <w:t>第六章  投标文件格式</w:t>
      </w:r>
      <w:bookmarkEnd w:id="263"/>
      <w:bookmarkEnd w:id="264"/>
    </w:p>
    <w:p w14:paraId="477152C3">
      <w:pPr>
        <w:ind w:firstLine="420" w:firstLineChars="200"/>
        <w:rPr>
          <w:rFonts w:hint="eastAsia" w:ascii="宋体" w:hAnsi="宋体" w:cs="宋体"/>
          <w:szCs w:val="21"/>
        </w:rPr>
      </w:pPr>
    </w:p>
    <w:p w14:paraId="7161BF44">
      <w:pPr>
        <w:spacing w:line="360" w:lineRule="auto"/>
        <w:ind w:right="-197"/>
        <w:jc w:val="center"/>
        <w:rPr>
          <w:rFonts w:hint="eastAsia" w:ascii="宋体" w:hAnsi="宋体" w:cs="宋体"/>
          <w:b/>
          <w:sz w:val="28"/>
          <w:szCs w:val="28"/>
        </w:rPr>
      </w:pPr>
    </w:p>
    <w:p w14:paraId="49DDE8AC">
      <w:pPr>
        <w:spacing w:line="360" w:lineRule="auto"/>
        <w:ind w:right="-197"/>
        <w:jc w:val="center"/>
        <w:rPr>
          <w:rFonts w:hint="eastAsia" w:ascii="宋体" w:hAnsi="宋体" w:cs="宋体"/>
          <w:b/>
          <w:sz w:val="28"/>
          <w:szCs w:val="28"/>
          <w:u w:val="single"/>
        </w:rPr>
      </w:pPr>
      <w:r>
        <w:rPr>
          <w:rFonts w:hint="eastAsia" w:ascii="宋体" w:hAnsi="宋体" w:cs="宋体"/>
          <w:b/>
          <w:sz w:val="28"/>
          <w:szCs w:val="28"/>
        </w:rPr>
        <w:t>___________________（项目名称）</w:t>
      </w:r>
    </w:p>
    <w:p w14:paraId="1E207906">
      <w:pPr>
        <w:spacing w:line="360" w:lineRule="auto"/>
        <w:ind w:right="-197"/>
        <w:jc w:val="left"/>
        <w:rPr>
          <w:rFonts w:hint="eastAsia" w:ascii="宋体" w:hAnsi="宋体" w:cs="宋体"/>
          <w:b/>
          <w:szCs w:val="21"/>
        </w:rPr>
      </w:pPr>
    </w:p>
    <w:p w14:paraId="135713A3">
      <w:pPr>
        <w:spacing w:line="360" w:lineRule="auto"/>
        <w:ind w:right="-197"/>
        <w:rPr>
          <w:rFonts w:hint="eastAsia" w:ascii="宋体" w:hAnsi="宋体" w:cs="宋体"/>
          <w:b/>
          <w:szCs w:val="21"/>
        </w:rPr>
      </w:pPr>
    </w:p>
    <w:p w14:paraId="40DA9991">
      <w:pPr>
        <w:spacing w:line="360" w:lineRule="auto"/>
        <w:ind w:right="-197"/>
        <w:jc w:val="center"/>
        <w:rPr>
          <w:rFonts w:hint="eastAsia" w:ascii="宋体" w:hAnsi="宋体" w:cs="宋体"/>
          <w:b/>
          <w:sz w:val="80"/>
          <w:szCs w:val="80"/>
          <w:u w:val="single"/>
        </w:rPr>
      </w:pPr>
      <w:r>
        <w:rPr>
          <w:rFonts w:hint="eastAsia" w:ascii="宋体" w:hAnsi="宋体" w:cs="宋体"/>
          <w:b/>
          <w:sz w:val="80"/>
          <w:szCs w:val="80"/>
        </w:rPr>
        <w:t xml:space="preserve">响 应 文 件 </w:t>
      </w:r>
    </w:p>
    <w:p w14:paraId="5B09C729">
      <w:pPr>
        <w:spacing w:line="360" w:lineRule="auto"/>
        <w:ind w:right="-197" w:firstLine="2693" w:firstLineChars="958"/>
        <w:rPr>
          <w:rFonts w:hint="eastAsia" w:ascii="宋体" w:hAnsi="宋体" w:cs="宋体"/>
          <w:b/>
          <w:sz w:val="28"/>
          <w:szCs w:val="28"/>
        </w:rPr>
      </w:pPr>
      <w:r>
        <w:rPr>
          <w:rFonts w:hint="eastAsia" w:ascii="宋体" w:hAnsi="宋体" w:cs="宋体"/>
          <w:b/>
          <w:sz w:val="28"/>
          <w:szCs w:val="28"/>
        </w:rPr>
        <w:t>采购编号：</w:t>
      </w:r>
    </w:p>
    <w:p w14:paraId="6AFC212B">
      <w:pPr>
        <w:spacing w:line="360" w:lineRule="auto"/>
        <w:ind w:right="-197"/>
        <w:rPr>
          <w:rFonts w:hint="eastAsia" w:ascii="宋体" w:hAnsi="宋体" w:cs="宋体"/>
          <w:b/>
          <w:sz w:val="28"/>
          <w:szCs w:val="28"/>
        </w:rPr>
      </w:pPr>
    </w:p>
    <w:p w14:paraId="358F6408">
      <w:pPr>
        <w:spacing w:line="360" w:lineRule="auto"/>
        <w:ind w:right="-197"/>
        <w:rPr>
          <w:rFonts w:hint="eastAsia" w:ascii="宋体" w:hAnsi="宋体" w:cs="宋体"/>
          <w:b/>
          <w:sz w:val="28"/>
          <w:szCs w:val="28"/>
        </w:rPr>
      </w:pPr>
    </w:p>
    <w:p w14:paraId="2A88960E">
      <w:pPr>
        <w:spacing w:line="360" w:lineRule="auto"/>
        <w:ind w:right="-197"/>
        <w:rPr>
          <w:rFonts w:hint="eastAsia" w:ascii="宋体" w:hAnsi="宋体" w:cs="宋体"/>
          <w:b/>
          <w:sz w:val="28"/>
          <w:szCs w:val="28"/>
        </w:rPr>
      </w:pPr>
    </w:p>
    <w:p w14:paraId="2DDE0996">
      <w:pPr>
        <w:spacing w:line="360" w:lineRule="auto"/>
        <w:ind w:right="-197"/>
        <w:rPr>
          <w:rFonts w:hint="eastAsia" w:ascii="宋体" w:hAnsi="宋体" w:cs="宋体"/>
          <w:b/>
          <w:sz w:val="28"/>
          <w:szCs w:val="28"/>
        </w:rPr>
      </w:pPr>
    </w:p>
    <w:p w14:paraId="402998A4">
      <w:pPr>
        <w:spacing w:line="360" w:lineRule="auto"/>
        <w:ind w:right="-197"/>
        <w:rPr>
          <w:rFonts w:hint="eastAsia" w:ascii="宋体" w:hAnsi="宋体" w:cs="宋体"/>
          <w:b/>
          <w:sz w:val="28"/>
          <w:szCs w:val="28"/>
        </w:rPr>
      </w:pPr>
    </w:p>
    <w:p w14:paraId="5D0ABE21">
      <w:pPr>
        <w:spacing w:line="360" w:lineRule="auto"/>
        <w:ind w:right="-197"/>
        <w:rPr>
          <w:rFonts w:hint="eastAsia" w:ascii="宋体" w:hAnsi="宋体" w:cs="宋体"/>
          <w:b/>
          <w:sz w:val="28"/>
          <w:szCs w:val="28"/>
        </w:rPr>
      </w:pPr>
    </w:p>
    <w:p w14:paraId="38A8D8E8">
      <w:pPr>
        <w:spacing w:line="360" w:lineRule="auto"/>
        <w:ind w:right="-197" w:firstLine="1127" w:firstLineChars="401"/>
        <w:jc w:val="left"/>
        <w:rPr>
          <w:rFonts w:hint="eastAsia" w:ascii="宋体" w:hAnsi="宋体"/>
          <w:b/>
          <w:sz w:val="28"/>
          <w:szCs w:val="28"/>
        </w:rPr>
      </w:pPr>
    </w:p>
    <w:p w14:paraId="22581C63">
      <w:pPr>
        <w:spacing w:line="360" w:lineRule="auto"/>
        <w:ind w:right="-197" w:firstLine="1127" w:firstLineChars="401"/>
        <w:jc w:val="left"/>
        <w:rPr>
          <w:rFonts w:hint="eastAsia" w:ascii="宋体" w:hAnsi="宋体"/>
          <w:b/>
          <w:sz w:val="28"/>
          <w:szCs w:val="28"/>
        </w:rPr>
      </w:pPr>
    </w:p>
    <w:p w14:paraId="40D4ABC4">
      <w:pPr>
        <w:spacing w:line="360" w:lineRule="auto"/>
        <w:ind w:right="-197" w:firstLine="1127" w:firstLineChars="401"/>
        <w:jc w:val="left"/>
        <w:rPr>
          <w:rFonts w:hint="eastAsia" w:ascii="宋体" w:hAnsi="宋体"/>
          <w:b/>
          <w:sz w:val="28"/>
          <w:szCs w:val="28"/>
        </w:rPr>
      </w:pPr>
    </w:p>
    <w:p w14:paraId="2FFF135A">
      <w:pPr>
        <w:spacing w:line="360" w:lineRule="auto"/>
        <w:ind w:right="-197" w:firstLine="1127" w:firstLineChars="401"/>
        <w:jc w:val="left"/>
        <w:rPr>
          <w:rFonts w:hint="eastAsia" w:ascii="宋体" w:hAnsi="宋体"/>
          <w:b/>
          <w:sz w:val="28"/>
          <w:szCs w:val="28"/>
          <w:u w:val="single"/>
        </w:rPr>
      </w:pPr>
      <w:r>
        <w:rPr>
          <w:rFonts w:hint="eastAsia" w:ascii="宋体" w:hAnsi="宋体"/>
          <w:b/>
          <w:sz w:val="28"/>
          <w:szCs w:val="28"/>
        </w:rPr>
        <w:t>投标人：</w:t>
      </w:r>
      <w:r>
        <w:rPr>
          <w:rFonts w:ascii="宋体" w:hAnsi="宋体"/>
          <w:b/>
          <w:sz w:val="28"/>
          <w:szCs w:val="28"/>
          <w:u w:val="single"/>
        </w:rPr>
        <w:t xml:space="preserve">                         </w:t>
      </w:r>
      <w:r>
        <w:rPr>
          <w:rFonts w:hint="eastAsia" w:ascii="宋体" w:hAnsi="宋体"/>
          <w:b/>
          <w:sz w:val="28"/>
          <w:szCs w:val="28"/>
        </w:rPr>
        <w:t>（电子签章）</w:t>
      </w:r>
    </w:p>
    <w:p w14:paraId="05D7C005">
      <w:pPr>
        <w:spacing w:line="360" w:lineRule="auto"/>
        <w:ind w:right="-197" w:firstLine="1130" w:firstLineChars="402"/>
        <w:jc w:val="left"/>
        <w:rPr>
          <w:rFonts w:hint="eastAsia" w:ascii="宋体" w:hAnsi="宋体"/>
          <w:b/>
          <w:sz w:val="28"/>
          <w:szCs w:val="28"/>
        </w:rPr>
      </w:pPr>
      <w:r>
        <w:rPr>
          <w:rFonts w:hint="eastAsia" w:ascii="宋体" w:hAnsi="宋体"/>
          <w:b/>
          <w:sz w:val="28"/>
          <w:szCs w:val="28"/>
        </w:rPr>
        <w:t>法定代表人或其委托代理人：</w:t>
      </w:r>
      <w:r>
        <w:rPr>
          <w:rFonts w:ascii="宋体" w:hAnsi="宋体"/>
          <w:b/>
          <w:sz w:val="28"/>
          <w:szCs w:val="28"/>
          <w:u w:val="single"/>
        </w:rPr>
        <w:t xml:space="preserve">            </w:t>
      </w:r>
      <w:r>
        <w:rPr>
          <w:rFonts w:hint="eastAsia" w:ascii="宋体" w:hAnsi="宋体"/>
          <w:b/>
          <w:sz w:val="28"/>
          <w:szCs w:val="28"/>
        </w:rPr>
        <w:t>（电子签章）</w:t>
      </w:r>
    </w:p>
    <w:p w14:paraId="375B75A3">
      <w:pPr>
        <w:spacing w:line="360" w:lineRule="auto"/>
        <w:ind w:right="-197" w:firstLine="1130" w:firstLineChars="402"/>
        <w:jc w:val="left"/>
        <w:rPr>
          <w:rFonts w:hint="eastAsia" w:ascii="宋体" w:hAnsi="宋体"/>
          <w:b/>
          <w:sz w:val="28"/>
          <w:szCs w:val="28"/>
        </w:rPr>
      </w:pPr>
      <w:r>
        <w:rPr>
          <w:rFonts w:hint="eastAsia" w:ascii="宋体" w:hAnsi="宋体"/>
          <w:b/>
          <w:sz w:val="28"/>
          <w:szCs w:val="28"/>
        </w:rPr>
        <w:t>日  期：</w:t>
      </w:r>
      <w:r>
        <w:rPr>
          <w:rFonts w:ascii="宋体" w:hAnsi="宋体"/>
          <w:b/>
          <w:sz w:val="28"/>
          <w:szCs w:val="28"/>
          <w:u w:val="single"/>
        </w:rPr>
        <w:t xml:space="preserve">       </w:t>
      </w:r>
      <w:r>
        <w:rPr>
          <w:rFonts w:hint="eastAsia" w:ascii="宋体" w:hAnsi="宋体"/>
          <w:b/>
          <w:sz w:val="28"/>
          <w:szCs w:val="28"/>
        </w:rPr>
        <w:t>年</w:t>
      </w:r>
      <w:r>
        <w:rPr>
          <w:rFonts w:ascii="宋体" w:hAnsi="宋体"/>
          <w:b/>
          <w:sz w:val="28"/>
          <w:szCs w:val="28"/>
          <w:u w:val="single"/>
        </w:rPr>
        <w:t xml:space="preserve">     </w:t>
      </w:r>
      <w:r>
        <w:rPr>
          <w:rFonts w:hint="eastAsia" w:ascii="宋体" w:hAnsi="宋体"/>
          <w:b/>
          <w:sz w:val="28"/>
          <w:szCs w:val="28"/>
        </w:rPr>
        <w:t>月</w:t>
      </w:r>
      <w:r>
        <w:rPr>
          <w:rFonts w:ascii="宋体" w:hAnsi="宋体"/>
          <w:b/>
          <w:sz w:val="28"/>
          <w:szCs w:val="28"/>
          <w:u w:val="single"/>
        </w:rPr>
        <w:t xml:space="preserve">     </w:t>
      </w:r>
      <w:r>
        <w:rPr>
          <w:rFonts w:hint="eastAsia" w:ascii="宋体" w:hAnsi="宋体"/>
          <w:b/>
          <w:sz w:val="28"/>
          <w:szCs w:val="28"/>
        </w:rPr>
        <w:t>日</w:t>
      </w:r>
    </w:p>
    <w:p w14:paraId="7BFDE1C5"/>
    <w:p w14:paraId="018CAC59">
      <w:pPr>
        <w:pStyle w:val="19"/>
        <w:ind w:firstLine="210"/>
        <w:sectPr>
          <w:pgSz w:w="11906" w:h="16838"/>
          <w:pgMar w:top="1134" w:right="1134" w:bottom="1418" w:left="1418" w:header="851" w:footer="992" w:gutter="0"/>
          <w:cols w:space="425" w:num="1"/>
          <w:docGrid w:type="lines" w:linePitch="312" w:charSpace="0"/>
        </w:sectPr>
      </w:pPr>
    </w:p>
    <w:p w14:paraId="61EFFF3E">
      <w:pPr>
        <w:pStyle w:val="4"/>
        <w:jc w:val="center"/>
        <w:rPr>
          <w:rFonts w:hint="eastAsia" w:ascii="宋体" w:hAnsi="宋体" w:eastAsia="宋体" w:cs="宋体"/>
          <w:sz w:val="21"/>
          <w:szCs w:val="21"/>
        </w:rPr>
      </w:pPr>
      <w:r>
        <w:rPr>
          <w:rFonts w:hint="eastAsia" w:ascii="宋体" w:hAnsi="宋体" w:eastAsia="宋体" w:cs="宋体"/>
          <w:sz w:val="21"/>
          <w:szCs w:val="21"/>
        </w:rPr>
        <w:t>一、投标函及投标函附录</w:t>
      </w:r>
    </w:p>
    <w:p w14:paraId="739CF911">
      <w:pPr>
        <w:jc w:val="center"/>
        <w:outlineLvl w:val="1"/>
        <w:rPr>
          <w:rFonts w:hint="eastAsia" w:ascii="宋体" w:hAnsi="宋体" w:cs="宋体"/>
          <w:b/>
          <w:szCs w:val="21"/>
        </w:rPr>
      </w:pPr>
      <w:r>
        <w:rPr>
          <w:rFonts w:hint="eastAsia" w:ascii="宋体" w:hAnsi="宋体" w:cs="宋体"/>
          <w:b/>
          <w:szCs w:val="21"/>
        </w:rPr>
        <w:t>（一）投标函</w:t>
      </w:r>
    </w:p>
    <w:p w14:paraId="2F76A35F">
      <w:pPr>
        <w:spacing w:line="360" w:lineRule="auto"/>
        <w:ind w:firstLine="420" w:firstLineChars="200"/>
        <w:rPr>
          <w:rFonts w:hint="eastAsia" w:ascii="宋体" w:hAnsi="宋体" w:cs="宋体"/>
          <w:szCs w:val="21"/>
        </w:rPr>
      </w:pPr>
    </w:p>
    <w:p w14:paraId="1AD079C4">
      <w:pPr>
        <w:spacing w:line="360" w:lineRule="auto"/>
        <w:rPr>
          <w:rFonts w:hint="eastAsia" w:ascii="宋体" w:hAnsi="宋体" w:cs="宋体"/>
          <w:szCs w:val="21"/>
        </w:rPr>
      </w:pPr>
      <w:r>
        <w:rPr>
          <w:rFonts w:hint="eastAsia" w:ascii="宋体" w:hAnsi="宋体" w:cs="宋体"/>
          <w:szCs w:val="21"/>
          <w:u w:val="single"/>
        </w:rPr>
        <w:t xml:space="preserve">          （采购人名称）：</w:t>
      </w:r>
    </w:p>
    <w:p w14:paraId="00BF88BB">
      <w:pPr>
        <w:spacing w:line="360" w:lineRule="auto"/>
        <w:ind w:firstLine="420" w:firstLineChars="200"/>
        <w:rPr>
          <w:rFonts w:hint="eastAsia" w:ascii="宋体" w:hAnsi="宋体" w:cs="宋体"/>
          <w:szCs w:val="21"/>
        </w:rPr>
      </w:pPr>
      <w:r>
        <w:rPr>
          <w:rFonts w:hint="eastAsia" w:ascii="宋体" w:hAnsi="宋体" w:cs="宋体"/>
          <w:szCs w:val="21"/>
        </w:rPr>
        <w:t>1．我方已仔细研究了（项目名称）</w:t>
      </w:r>
      <w:r>
        <w:rPr>
          <w:rFonts w:hint="eastAsia" w:ascii="宋体" w:hAnsi="宋体" w:cs="宋体"/>
          <w:szCs w:val="21"/>
          <w:u w:val="single"/>
        </w:rPr>
        <w:t xml:space="preserve">                   </w:t>
      </w:r>
      <w:r>
        <w:rPr>
          <w:rFonts w:hint="eastAsia" w:ascii="宋体" w:hAnsi="宋体" w:cs="宋体"/>
          <w:szCs w:val="21"/>
        </w:rPr>
        <w:t>招标文件的全部内容，愿意以人民币（大写）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元的投标报价，建设周期：合同签订后，</w:t>
      </w:r>
      <w:r>
        <w:rPr>
          <w:rFonts w:hint="eastAsia" w:ascii="宋体" w:hAnsi="宋体" w:cs="宋体"/>
          <w:szCs w:val="21"/>
          <w:u w:val="single"/>
          <w:lang w:val="en-US" w:eastAsia="zh-CN"/>
        </w:rPr>
        <w:t xml:space="preserve">     </w:t>
      </w:r>
      <w:r>
        <w:rPr>
          <w:rFonts w:hint="eastAsia" w:ascii="宋体" w:hAnsi="宋体" w:cs="宋体"/>
          <w:szCs w:val="21"/>
        </w:rPr>
        <w:t>个月内安装完毕，按合同约定完成全部合同内容，服务</w:t>
      </w:r>
      <w:r>
        <w:rPr>
          <w:rFonts w:hint="eastAsia" w:ascii="宋体" w:hAnsi="宋体" w:cs="宋体"/>
          <w:szCs w:val="21"/>
          <w:lang w:eastAsia="zh-CN"/>
        </w:rPr>
        <w:t>质量</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w:t>
      </w:r>
    </w:p>
    <w:p w14:paraId="1A580985">
      <w:pPr>
        <w:spacing w:line="360" w:lineRule="auto"/>
        <w:ind w:firstLine="420" w:firstLineChars="200"/>
        <w:rPr>
          <w:rFonts w:hint="eastAsia" w:ascii="宋体" w:hAnsi="宋体" w:cs="宋体"/>
          <w:szCs w:val="21"/>
        </w:rPr>
      </w:pPr>
      <w:r>
        <w:rPr>
          <w:rFonts w:hint="eastAsia" w:ascii="宋体" w:hAnsi="宋体" w:cs="宋体"/>
          <w:szCs w:val="21"/>
        </w:rPr>
        <w:t>2．我方承诺在投标有效期内不修改、撤销投标文件。</w:t>
      </w:r>
    </w:p>
    <w:p w14:paraId="5A18D88E">
      <w:pPr>
        <w:spacing w:line="360" w:lineRule="auto"/>
        <w:ind w:firstLine="420" w:firstLineChars="200"/>
        <w:rPr>
          <w:rFonts w:hint="eastAsia" w:ascii="宋体" w:hAnsi="宋体" w:cs="宋体"/>
          <w:szCs w:val="21"/>
        </w:rPr>
      </w:pPr>
      <w:r>
        <w:rPr>
          <w:rFonts w:hint="eastAsia" w:ascii="宋体" w:hAnsi="宋体" w:cs="宋体"/>
          <w:szCs w:val="21"/>
        </w:rPr>
        <w:t>3．如我方中标：</w:t>
      </w:r>
    </w:p>
    <w:p w14:paraId="71903809">
      <w:pPr>
        <w:spacing w:line="360" w:lineRule="auto"/>
        <w:ind w:firstLine="420" w:firstLineChars="200"/>
        <w:rPr>
          <w:rFonts w:hint="eastAsia" w:ascii="宋体" w:hAnsi="宋体" w:cs="宋体"/>
          <w:szCs w:val="21"/>
        </w:rPr>
      </w:pPr>
      <w:r>
        <w:rPr>
          <w:rFonts w:hint="eastAsia" w:ascii="宋体" w:hAnsi="宋体" w:cs="宋体"/>
          <w:szCs w:val="21"/>
        </w:rPr>
        <w:t>(l)我方承诺在收到中标通知书后，在中标通知书规定的期限内与你方签订合同。</w:t>
      </w:r>
    </w:p>
    <w:p w14:paraId="02141ABB">
      <w:pPr>
        <w:spacing w:line="360" w:lineRule="auto"/>
        <w:ind w:firstLine="420" w:firstLineChars="200"/>
        <w:rPr>
          <w:rFonts w:hint="eastAsia" w:ascii="宋体" w:hAnsi="宋体" w:cs="宋体"/>
          <w:szCs w:val="21"/>
        </w:rPr>
      </w:pPr>
      <w:r>
        <w:rPr>
          <w:rFonts w:hint="eastAsia" w:ascii="宋体" w:hAnsi="宋体" w:cs="宋体"/>
          <w:szCs w:val="21"/>
        </w:rPr>
        <w:t>(2)随同本投标函递交的投标函附录属于合同文件的组成部分。</w:t>
      </w:r>
    </w:p>
    <w:p w14:paraId="2EC85885">
      <w:pPr>
        <w:spacing w:line="360" w:lineRule="auto"/>
        <w:ind w:firstLine="420" w:firstLineChars="200"/>
        <w:rPr>
          <w:rFonts w:hint="eastAsia" w:ascii="宋体" w:hAnsi="宋体" w:cs="宋体"/>
          <w:szCs w:val="21"/>
        </w:rPr>
      </w:pPr>
      <w:r>
        <w:rPr>
          <w:rFonts w:hint="eastAsia" w:ascii="宋体" w:hAnsi="宋体" w:cs="宋体"/>
          <w:szCs w:val="21"/>
        </w:rPr>
        <w:t>(3)我方承诺在合同约定的期限内完成全部合同内容。</w:t>
      </w:r>
    </w:p>
    <w:p w14:paraId="645E2B63">
      <w:pPr>
        <w:spacing w:line="360" w:lineRule="auto"/>
        <w:ind w:firstLine="420" w:firstLineChars="200"/>
        <w:rPr>
          <w:rFonts w:hint="eastAsia" w:ascii="宋体" w:hAnsi="宋体" w:cs="宋体"/>
          <w:szCs w:val="21"/>
        </w:rPr>
      </w:pPr>
      <w:r>
        <w:rPr>
          <w:rFonts w:hint="eastAsia" w:ascii="宋体" w:hAnsi="宋体" w:cs="宋体"/>
          <w:szCs w:val="21"/>
        </w:rPr>
        <w:t>4．我方在此声明，所递交的投标文件及有关资料内容完整、真实和准确，且不存在第二章“投标人(供应商)须知”第1.4.3项规定的任何一种情形。</w:t>
      </w:r>
    </w:p>
    <w:p w14:paraId="2A59BE35">
      <w:pPr>
        <w:spacing w:line="360" w:lineRule="auto"/>
        <w:ind w:firstLine="420" w:firstLineChars="200"/>
        <w:rPr>
          <w:rFonts w:hint="eastAsia" w:ascii="宋体" w:hAnsi="宋体" w:cs="宋体"/>
          <w:szCs w:val="21"/>
        </w:rPr>
      </w:pPr>
      <w:r>
        <w:rPr>
          <w:rFonts w:hint="eastAsia" w:ascii="宋体" w:hAnsi="宋体" w:cs="宋体"/>
          <w:szCs w:val="21"/>
        </w:rPr>
        <w:t xml:space="preserve">5. </w:t>
      </w:r>
      <w:r>
        <w:rPr>
          <w:rFonts w:hint="eastAsia" w:ascii="宋体" w:hAnsi="宋体" w:cs="宋体"/>
          <w:szCs w:val="21"/>
          <w:u w:val="single"/>
        </w:rPr>
        <w:t xml:space="preserve">                     </w:t>
      </w:r>
      <w:r>
        <w:rPr>
          <w:rFonts w:hint="eastAsia" w:ascii="宋体" w:hAnsi="宋体" w:cs="宋体"/>
          <w:szCs w:val="21"/>
        </w:rPr>
        <w:t>（其他补充说明）。</w:t>
      </w:r>
    </w:p>
    <w:p w14:paraId="73668798">
      <w:pPr>
        <w:spacing w:line="360" w:lineRule="auto"/>
        <w:ind w:firstLine="420" w:firstLineChars="200"/>
        <w:rPr>
          <w:rFonts w:hint="eastAsia" w:ascii="宋体" w:hAnsi="宋体" w:cs="宋体"/>
          <w:szCs w:val="21"/>
        </w:rPr>
      </w:pPr>
    </w:p>
    <w:p w14:paraId="2372EFE4">
      <w:pPr>
        <w:spacing w:line="360" w:lineRule="auto"/>
        <w:ind w:firstLine="420" w:firstLineChars="200"/>
        <w:rPr>
          <w:rFonts w:hint="eastAsia" w:ascii="宋体" w:hAnsi="宋体" w:cs="宋体"/>
          <w:szCs w:val="21"/>
        </w:rPr>
      </w:pPr>
    </w:p>
    <w:p w14:paraId="7468345C">
      <w:pPr>
        <w:spacing w:line="360" w:lineRule="auto"/>
        <w:jc w:val="right"/>
        <w:rPr>
          <w:rFonts w:hint="eastAsia" w:ascii="宋体" w:hAnsi="宋体" w:cs="宋体"/>
          <w:szCs w:val="21"/>
        </w:rPr>
      </w:pPr>
      <w:r>
        <w:rPr>
          <w:rFonts w:hint="eastAsia" w:ascii="宋体" w:hAnsi="宋体" w:cs="宋体"/>
          <w:szCs w:val="21"/>
        </w:rPr>
        <w:t xml:space="preserve">      投标人：</w:t>
      </w:r>
      <w:r>
        <w:rPr>
          <w:rFonts w:hint="eastAsia" w:ascii="宋体" w:hAnsi="宋体" w:cs="宋体"/>
          <w:szCs w:val="21"/>
          <w:u w:val="single"/>
        </w:rPr>
        <w:t xml:space="preserve">                             </w:t>
      </w:r>
      <w:r>
        <w:rPr>
          <w:rFonts w:hint="eastAsia" w:ascii="宋体" w:hAnsi="宋体" w:cs="宋体"/>
          <w:szCs w:val="21"/>
        </w:rPr>
        <w:t>（电子签章）</w:t>
      </w:r>
    </w:p>
    <w:p w14:paraId="38427605">
      <w:pPr>
        <w:spacing w:line="360" w:lineRule="auto"/>
        <w:ind w:right="945" w:firstLine="3990" w:firstLineChars="1900"/>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5D8B548">
      <w:pPr>
        <w:jc w:val="center"/>
        <w:rPr>
          <w:rFonts w:hint="eastAsia" w:ascii="宋体" w:hAnsi="宋体" w:cs="宋体"/>
          <w:b/>
          <w:szCs w:val="21"/>
        </w:rPr>
      </w:pPr>
    </w:p>
    <w:p w14:paraId="4882A61C">
      <w:pPr>
        <w:spacing w:line="360" w:lineRule="auto"/>
        <w:jc w:val="center"/>
        <w:rPr>
          <w:rFonts w:hint="eastAsia" w:ascii="宋体" w:hAnsi="宋体" w:cs="宋体"/>
          <w:b/>
          <w:szCs w:val="21"/>
        </w:rPr>
      </w:pPr>
    </w:p>
    <w:p w14:paraId="75BC1BFC">
      <w:pPr>
        <w:jc w:val="center"/>
        <w:rPr>
          <w:rFonts w:hint="eastAsia" w:ascii="宋体" w:hAnsi="宋体" w:cs="宋体"/>
          <w:b/>
          <w:szCs w:val="21"/>
        </w:rPr>
      </w:pPr>
    </w:p>
    <w:p w14:paraId="21A1C62C">
      <w:pPr>
        <w:pStyle w:val="19"/>
        <w:ind w:firstLine="0" w:firstLineChars="0"/>
        <w:rPr>
          <w:rFonts w:hint="eastAsia" w:ascii="宋体" w:hAnsi="宋体" w:cs="宋体"/>
          <w:szCs w:val="21"/>
        </w:rPr>
      </w:pPr>
    </w:p>
    <w:p w14:paraId="3E92EB29">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3C7D65BD">
      <w:pPr>
        <w:jc w:val="center"/>
        <w:outlineLvl w:val="1"/>
        <w:rPr>
          <w:rFonts w:hint="eastAsia" w:ascii="宋体" w:hAnsi="宋体" w:cs="宋体"/>
          <w:b/>
          <w:szCs w:val="21"/>
        </w:rPr>
      </w:pPr>
      <w:bookmarkStart w:id="265" w:name="_Toc358873717"/>
      <w:bookmarkStart w:id="266" w:name="_Hlk122705525"/>
      <w:r>
        <w:rPr>
          <w:rFonts w:hint="eastAsia" w:ascii="宋体" w:hAnsi="宋体" w:cs="宋体"/>
          <w:b/>
          <w:szCs w:val="21"/>
        </w:rPr>
        <w:t>（二）投标函附录</w:t>
      </w:r>
      <w:bookmarkEnd w:id="265"/>
    </w:p>
    <w:tbl>
      <w:tblPr>
        <w:tblStyle w:val="21"/>
        <w:tblW w:w="89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6110"/>
      </w:tblGrid>
      <w:tr w14:paraId="1CB80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18966371">
            <w:pPr>
              <w:spacing w:line="360" w:lineRule="auto"/>
              <w:jc w:val="center"/>
              <w:rPr>
                <w:rFonts w:hint="eastAsia" w:ascii="宋体" w:hAnsi="宋体" w:cs="宋体"/>
                <w:szCs w:val="21"/>
              </w:rPr>
            </w:pPr>
            <w:r>
              <w:rPr>
                <w:rFonts w:hint="eastAsia" w:ascii="宋体" w:hAnsi="宋体" w:cs="宋体"/>
                <w:szCs w:val="21"/>
              </w:rPr>
              <w:t>项目名称</w:t>
            </w:r>
          </w:p>
        </w:tc>
        <w:tc>
          <w:tcPr>
            <w:tcW w:w="6110" w:type="dxa"/>
            <w:tcBorders>
              <w:top w:val="single" w:color="auto" w:sz="4" w:space="0"/>
              <w:left w:val="single" w:color="auto" w:sz="4" w:space="0"/>
              <w:bottom w:val="single" w:color="auto" w:sz="4" w:space="0"/>
              <w:right w:val="single" w:color="auto" w:sz="4" w:space="0"/>
            </w:tcBorders>
            <w:vAlign w:val="center"/>
          </w:tcPr>
          <w:p w14:paraId="6D6D3D67">
            <w:pPr>
              <w:spacing w:line="360" w:lineRule="auto"/>
              <w:jc w:val="center"/>
              <w:rPr>
                <w:rFonts w:hint="eastAsia" w:ascii="宋体" w:hAnsi="宋体" w:cs="宋体"/>
                <w:szCs w:val="21"/>
              </w:rPr>
            </w:pPr>
          </w:p>
        </w:tc>
      </w:tr>
      <w:tr w14:paraId="39D2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171F7DE3">
            <w:pPr>
              <w:spacing w:line="360" w:lineRule="auto"/>
              <w:jc w:val="center"/>
              <w:rPr>
                <w:rFonts w:hint="eastAsia" w:ascii="宋体" w:hAnsi="宋体" w:cs="宋体"/>
                <w:szCs w:val="21"/>
              </w:rPr>
            </w:pPr>
            <w:r>
              <w:rPr>
                <w:rFonts w:hint="eastAsia" w:ascii="宋体" w:hAnsi="宋体" w:cs="宋体"/>
                <w:szCs w:val="21"/>
              </w:rPr>
              <w:t>投标人名称</w:t>
            </w:r>
          </w:p>
        </w:tc>
        <w:tc>
          <w:tcPr>
            <w:tcW w:w="6110" w:type="dxa"/>
            <w:tcBorders>
              <w:top w:val="single" w:color="auto" w:sz="4" w:space="0"/>
              <w:left w:val="single" w:color="auto" w:sz="4" w:space="0"/>
              <w:bottom w:val="single" w:color="auto" w:sz="4" w:space="0"/>
              <w:right w:val="single" w:color="auto" w:sz="4" w:space="0"/>
            </w:tcBorders>
            <w:vAlign w:val="center"/>
          </w:tcPr>
          <w:p w14:paraId="68332D8D">
            <w:pPr>
              <w:spacing w:line="360" w:lineRule="auto"/>
              <w:rPr>
                <w:rFonts w:hint="eastAsia" w:ascii="宋体" w:hAnsi="宋体" w:cs="宋体"/>
                <w:szCs w:val="21"/>
              </w:rPr>
            </w:pPr>
          </w:p>
        </w:tc>
      </w:tr>
      <w:tr w14:paraId="06B7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2830" w:type="dxa"/>
            <w:tcBorders>
              <w:top w:val="single" w:color="auto" w:sz="4" w:space="0"/>
              <w:left w:val="single" w:color="auto" w:sz="4" w:space="0"/>
              <w:right w:val="single" w:color="auto" w:sz="4" w:space="0"/>
            </w:tcBorders>
            <w:vAlign w:val="center"/>
          </w:tcPr>
          <w:p w14:paraId="3B6B04A2">
            <w:pPr>
              <w:spacing w:line="360" w:lineRule="auto"/>
              <w:jc w:val="center"/>
              <w:rPr>
                <w:rFonts w:hint="eastAsia" w:ascii="宋体" w:hAnsi="宋体" w:cs="宋体"/>
                <w:szCs w:val="21"/>
              </w:rPr>
            </w:pPr>
            <w:r>
              <w:rPr>
                <w:rFonts w:hint="eastAsia" w:ascii="宋体" w:hAnsi="宋体" w:cs="宋体"/>
                <w:szCs w:val="21"/>
              </w:rPr>
              <w:t>投标报价</w:t>
            </w:r>
          </w:p>
        </w:tc>
        <w:tc>
          <w:tcPr>
            <w:tcW w:w="6110" w:type="dxa"/>
            <w:tcBorders>
              <w:top w:val="single" w:color="auto" w:sz="4" w:space="0"/>
              <w:left w:val="single" w:color="auto" w:sz="4" w:space="0"/>
              <w:bottom w:val="single" w:color="auto" w:sz="4" w:space="0"/>
              <w:right w:val="single" w:color="auto" w:sz="4" w:space="0"/>
            </w:tcBorders>
            <w:vAlign w:val="center"/>
          </w:tcPr>
          <w:p w14:paraId="7D5DB22F">
            <w:pPr>
              <w:spacing w:line="360" w:lineRule="auto"/>
              <w:rPr>
                <w:rFonts w:hint="eastAsia" w:ascii="宋体" w:hAnsi="宋体" w:cs="宋体"/>
                <w:szCs w:val="21"/>
              </w:rPr>
            </w:pP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color w:val="000000"/>
                <w:szCs w:val="21"/>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tc>
      </w:tr>
      <w:tr w14:paraId="7C62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54A8F2ED">
            <w:pPr>
              <w:spacing w:line="360" w:lineRule="auto"/>
              <w:jc w:val="center"/>
              <w:rPr>
                <w:rFonts w:hint="eastAsia" w:ascii="宋体" w:hAnsi="宋体" w:cs="宋体"/>
                <w:szCs w:val="21"/>
              </w:rPr>
            </w:pPr>
            <w:r>
              <w:rPr>
                <w:rFonts w:hint="eastAsia" w:ascii="宋体" w:hAnsi="宋体" w:cs="宋体"/>
                <w:szCs w:val="21"/>
              </w:rPr>
              <w:t>服务质量</w:t>
            </w:r>
          </w:p>
        </w:tc>
        <w:tc>
          <w:tcPr>
            <w:tcW w:w="6110" w:type="dxa"/>
            <w:tcBorders>
              <w:top w:val="single" w:color="auto" w:sz="4" w:space="0"/>
              <w:left w:val="single" w:color="auto" w:sz="4" w:space="0"/>
              <w:bottom w:val="single" w:color="auto" w:sz="4" w:space="0"/>
              <w:right w:val="single" w:color="auto" w:sz="4" w:space="0"/>
            </w:tcBorders>
            <w:vAlign w:val="center"/>
          </w:tcPr>
          <w:p w14:paraId="2566A152">
            <w:pPr>
              <w:spacing w:line="360" w:lineRule="auto"/>
              <w:jc w:val="center"/>
              <w:rPr>
                <w:rFonts w:hint="eastAsia" w:ascii="宋体" w:hAnsi="宋体" w:cs="宋体"/>
                <w:szCs w:val="21"/>
              </w:rPr>
            </w:pPr>
          </w:p>
        </w:tc>
      </w:tr>
      <w:tr w14:paraId="79DC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3316B805">
            <w:pPr>
              <w:spacing w:line="360" w:lineRule="auto"/>
              <w:jc w:val="center"/>
              <w:rPr>
                <w:rFonts w:hint="eastAsia" w:ascii="宋体" w:hAnsi="宋体" w:cs="宋体"/>
                <w:szCs w:val="21"/>
              </w:rPr>
            </w:pPr>
            <w:r>
              <w:rPr>
                <w:rFonts w:hint="eastAsia" w:ascii="宋体" w:hAnsi="宋体" w:cs="宋体"/>
                <w:szCs w:val="21"/>
              </w:rPr>
              <w:t>建设周期</w:t>
            </w:r>
          </w:p>
        </w:tc>
        <w:tc>
          <w:tcPr>
            <w:tcW w:w="6110" w:type="dxa"/>
            <w:tcBorders>
              <w:top w:val="single" w:color="auto" w:sz="4" w:space="0"/>
              <w:left w:val="single" w:color="auto" w:sz="4" w:space="0"/>
              <w:bottom w:val="single" w:color="auto" w:sz="4" w:space="0"/>
              <w:right w:val="single" w:color="auto" w:sz="4" w:space="0"/>
            </w:tcBorders>
            <w:vAlign w:val="center"/>
          </w:tcPr>
          <w:p w14:paraId="4FA312BE">
            <w:pPr>
              <w:spacing w:line="360" w:lineRule="auto"/>
              <w:ind w:firstLine="1680" w:firstLineChars="800"/>
              <w:rPr>
                <w:rFonts w:hint="eastAsia" w:ascii="宋体" w:hAnsi="宋体" w:cs="宋体"/>
                <w:szCs w:val="21"/>
              </w:rPr>
            </w:pPr>
          </w:p>
        </w:tc>
      </w:tr>
      <w:tr w14:paraId="2C2A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7FC21054">
            <w:pPr>
              <w:spacing w:line="360" w:lineRule="auto"/>
              <w:jc w:val="center"/>
              <w:rPr>
                <w:rFonts w:hint="eastAsia" w:ascii="宋体" w:hAnsi="宋体" w:cs="宋体"/>
                <w:szCs w:val="21"/>
              </w:rPr>
            </w:pPr>
            <w:r>
              <w:rPr>
                <w:rFonts w:hint="eastAsia" w:ascii="宋体" w:hAnsi="宋体" w:cs="宋体"/>
                <w:szCs w:val="21"/>
              </w:rPr>
              <w:t>服务地点</w:t>
            </w:r>
          </w:p>
        </w:tc>
        <w:tc>
          <w:tcPr>
            <w:tcW w:w="6110" w:type="dxa"/>
            <w:tcBorders>
              <w:top w:val="single" w:color="auto" w:sz="4" w:space="0"/>
              <w:left w:val="single" w:color="auto" w:sz="4" w:space="0"/>
              <w:bottom w:val="single" w:color="auto" w:sz="4" w:space="0"/>
              <w:right w:val="single" w:color="auto" w:sz="4" w:space="0"/>
            </w:tcBorders>
            <w:vAlign w:val="center"/>
          </w:tcPr>
          <w:p w14:paraId="4DE1AA73">
            <w:pPr>
              <w:spacing w:line="360" w:lineRule="auto"/>
              <w:ind w:firstLine="1680" w:firstLineChars="800"/>
              <w:rPr>
                <w:rFonts w:hint="eastAsia" w:ascii="宋体" w:hAnsi="宋体" w:cs="宋体"/>
                <w:szCs w:val="21"/>
              </w:rPr>
            </w:pPr>
          </w:p>
        </w:tc>
      </w:tr>
      <w:tr w14:paraId="1585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45008DFC">
            <w:pPr>
              <w:spacing w:line="360" w:lineRule="auto"/>
              <w:jc w:val="center"/>
              <w:rPr>
                <w:rFonts w:hint="eastAsia" w:ascii="宋体" w:hAnsi="宋体" w:cs="宋体"/>
                <w:szCs w:val="21"/>
              </w:rPr>
            </w:pPr>
            <w:r>
              <w:rPr>
                <w:rFonts w:hint="eastAsia" w:ascii="宋体" w:hAnsi="宋体" w:cs="宋体"/>
                <w:szCs w:val="21"/>
              </w:rPr>
              <w:t>运维服务期限</w:t>
            </w:r>
          </w:p>
        </w:tc>
        <w:tc>
          <w:tcPr>
            <w:tcW w:w="6110" w:type="dxa"/>
            <w:tcBorders>
              <w:top w:val="single" w:color="auto" w:sz="4" w:space="0"/>
              <w:left w:val="single" w:color="auto" w:sz="4" w:space="0"/>
              <w:bottom w:val="single" w:color="auto" w:sz="4" w:space="0"/>
              <w:right w:val="single" w:color="auto" w:sz="4" w:space="0"/>
            </w:tcBorders>
            <w:vAlign w:val="center"/>
          </w:tcPr>
          <w:p w14:paraId="66874882">
            <w:pPr>
              <w:spacing w:line="360" w:lineRule="auto"/>
              <w:ind w:firstLine="1680" w:firstLineChars="800"/>
              <w:rPr>
                <w:rFonts w:hint="eastAsia" w:ascii="宋体" w:hAnsi="宋体" w:cs="宋体"/>
                <w:szCs w:val="21"/>
              </w:rPr>
            </w:pPr>
          </w:p>
        </w:tc>
      </w:tr>
      <w:tr w14:paraId="0F8F7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2830" w:type="dxa"/>
            <w:tcBorders>
              <w:top w:val="single" w:color="auto" w:sz="4" w:space="0"/>
              <w:left w:val="single" w:color="auto" w:sz="4" w:space="0"/>
              <w:bottom w:val="single" w:color="auto" w:sz="4" w:space="0"/>
              <w:right w:val="single" w:color="auto" w:sz="4" w:space="0"/>
            </w:tcBorders>
            <w:vAlign w:val="center"/>
          </w:tcPr>
          <w:p w14:paraId="4FE7D261">
            <w:pPr>
              <w:spacing w:line="360" w:lineRule="auto"/>
              <w:jc w:val="center"/>
              <w:rPr>
                <w:rFonts w:hint="eastAsia" w:ascii="宋体" w:hAnsi="宋体" w:cs="宋体"/>
                <w:szCs w:val="21"/>
              </w:rPr>
            </w:pPr>
            <w:r>
              <w:rPr>
                <w:rFonts w:hint="eastAsia" w:ascii="宋体" w:hAnsi="宋体" w:cs="宋体"/>
                <w:szCs w:val="21"/>
              </w:rPr>
              <w:t>投标有效期</w:t>
            </w:r>
          </w:p>
        </w:tc>
        <w:tc>
          <w:tcPr>
            <w:tcW w:w="6110" w:type="dxa"/>
            <w:tcBorders>
              <w:top w:val="single" w:color="auto" w:sz="4" w:space="0"/>
              <w:left w:val="single" w:color="auto" w:sz="4" w:space="0"/>
              <w:bottom w:val="single" w:color="auto" w:sz="4" w:space="0"/>
              <w:right w:val="single" w:color="auto" w:sz="4" w:space="0"/>
            </w:tcBorders>
            <w:vAlign w:val="center"/>
          </w:tcPr>
          <w:p w14:paraId="0C1B8FA3">
            <w:pPr>
              <w:spacing w:line="360" w:lineRule="auto"/>
              <w:rPr>
                <w:rFonts w:hint="eastAsia" w:ascii="宋体" w:hAnsi="宋体" w:cs="宋体"/>
                <w:szCs w:val="21"/>
                <w:u w:val="single"/>
              </w:rPr>
            </w:pPr>
          </w:p>
        </w:tc>
      </w:tr>
      <w:tr w14:paraId="63D1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exact"/>
          <w:jc w:val="center"/>
        </w:trPr>
        <w:tc>
          <w:tcPr>
            <w:tcW w:w="8940" w:type="dxa"/>
            <w:gridSpan w:val="2"/>
            <w:vAlign w:val="center"/>
          </w:tcPr>
          <w:p w14:paraId="29303955">
            <w:pPr>
              <w:spacing w:line="360" w:lineRule="auto"/>
              <w:rPr>
                <w:rFonts w:hint="eastAsia" w:ascii="宋体" w:hAnsi="宋体" w:cs="宋体"/>
                <w:szCs w:val="21"/>
              </w:rPr>
            </w:pPr>
            <w:r>
              <w:rPr>
                <w:rFonts w:hint="eastAsia" w:ascii="宋体" w:hAnsi="宋体" w:cs="宋体"/>
                <w:szCs w:val="21"/>
              </w:rPr>
              <w:t>其他需要说明的问题：</w:t>
            </w:r>
          </w:p>
        </w:tc>
      </w:tr>
    </w:tbl>
    <w:p w14:paraId="3608341B">
      <w:pPr>
        <w:spacing w:line="360" w:lineRule="auto"/>
        <w:jc w:val="right"/>
        <w:rPr>
          <w:rFonts w:hint="eastAsia" w:ascii="宋体" w:hAnsi="宋体" w:cs="宋体"/>
          <w:szCs w:val="21"/>
        </w:rPr>
      </w:pPr>
    </w:p>
    <w:p w14:paraId="6FADD24B">
      <w:pPr>
        <w:pStyle w:val="19"/>
        <w:ind w:firstLine="210"/>
        <w:rPr>
          <w:rFonts w:hint="eastAsia" w:ascii="宋体" w:hAnsi="宋体" w:cs="宋体"/>
          <w:szCs w:val="21"/>
        </w:rPr>
      </w:pPr>
    </w:p>
    <w:p w14:paraId="7CE5BBB1">
      <w:pPr>
        <w:pStyle w:val="19"/>
        <w:ind w:firstLine="210"/>
        <w:rPr>
          <w:rFonts w:hint="eastAsia" w:ascii="宋体" w:hAnsi="宋体" w:cs="宋体"/>
          <w:szCs w:val="21"/>
        </w:rPr>
      </w:pPr>
    </w:p>
    <w:p w14:paraId="4D4A989F">
      <w:pPr>
        <w:spacing w:line="360" w:lineRule="auto"/>
        <w:jc w:val="right"/>
        <w:rPr>
          <w:rFonts w:hint="eastAsia" w:ascii="宋体" w:hAnsi="宋体" w:cs="宋体"/>
          <w:szCs w:val="21"/>
          <w:u w:val="single"/>
        </w:rPr>
      </w:pPr>
      <w:r>
        <w:rPr>
          <w:rFonts w:hint="eastAsia" w:ascii="宋体" w:hAnsi="宋体" w:cs="宋体"/>
          <w:szCs w:val="21"/>
        </w:rPr>
        <w:t xml:space="preserve">     投标人：</w:t>
      </w:r>
      <w:r>
        <w:rPr>
          <w:rFonts w:hint="eastAsia" w:ascii="宋体" w:hAnsi="宋体" w:cs="宋体"/>
          <w:szCs w:val="21"/>
          <w:u w:val="single"/>
        </w:rPr>
        <w:t xml:space="preserve">                         </w:t>
      </w:r>
      <w:r>
        <w:rPr>
          <w:rFonts w:hint="eastAsia" w:ascii="宋体" w:hAnsi="宋体" w:cs="宋体"/>
          <w:szCs w:val="21"/>
        </w:rPr>
        <w:t>（电子签章）</w:t>
      </w:r>
    </w:p>
    <w:p w14:paraId="3F2C45A6">
      <w:pPr>
        <w:spacing w:line="360" w:lineRule="auto"/>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（电子签章）</w:t>
      </w:r>
    </w:p>
    <w:p w14:paraId="4E1A89E6">
      <w:pPr>
        <w:spacing w:line="360" w:lineRule="auto"/>
        <w:jc w:val="righ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8C6612A">
      <w:pPr>
        <w:spacing w:line="360" w:lineRule="auto"/>
        <w:jc w:val="right"/>
        <w:rPr>
          <w:rFonts w:hint="eastAsia" w:ascii="宋体" w:hAnsi="宋体" w:cs="宋体"/>
          <w:szCs w:val="21"/>
        </w:rPr>
      </w:pPr>
    </w:p>
    <w:p w14:paraId="58C0C5A5">
      <w:pPr>
        <w:rPr>
          <w:rFonts w:hint="eastAsia" w:ascii="宋体" w:hAnsi="宋体" w:cs="宋体"/>
          <w:szCs w:val="21"/>
        </w:rPr>
      </w:pPr>
    </w:p>
    <w:p w14:paraId="1A9BE3F7">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66"/>
    <w:p w14:paraId="205DFA2C">
      <w:pPr>
        <w:pStyle w:val="4"/>
        <w:jc w:val="center"/>
        <w:rPr>
          <w:rFonts w:hint="eastAsia" w:ascii="宋体" w:hAnsi="宋体" w:eastAsia="宋体" w:cs="宋体"/>
          <w:sz w:val="21"/>
          <w:szCs w:val="21"/>
        </w:rPr>
      </w:pPr>
      <w:bookmarkStart w:id="267" w:name="_Toc118733374"/>
      <w:bookmarkStart w:id="268" w:name="_Hlk122705597"/>
      <w:r>
        <w:rPr>
          <w:rFonts w:hint="eastAsia" w:ascii="宋体" w:hAnsi="宋体" w:eastAsia="宋体" w:cs="宋体"/>
          <w:sz w:val="21"/>
          <w:szCs w:val="21"/>
        </w:rPr>
        <w:t>二、法定代表人身份证明</w:t>
      </w:r>
      <w:bookmarkEnd w:id="267"/>
    </w:p>
    <w:p w14:paraId="139D9FF6">
      <w:pPr>
        <w:spacing w:line="360" w:lineRule="auto"/>
        <w:rPr>
          <w:rFonts w:hint="eastAsia" w:ascii="宋体" w:hAnsi="宋体" w:cs="宋体"/>
          <w:szCs w:val="21"/>
        </w:rPr>
      </w:pPr>
    </w:p>
    <w:p w14:paraId="4A7EA382">
      <w:pPr>
        <w:spacing w:line="360" w:lineRule="auto"/>
        <w:ind w:firstLine="420" w:firstLineChars="200"/>
        <w:rPr>
          <w:rFonts w:hint="eastAsia" w:ascii="宋体" w:hAnsi="宋体" w:cs="宋体"/>
          <w:szCs w:val="21"/>
        </w:rPr>
      </w:pPr>
      <w:r>
        <w:rPr>
          <w:rFonts w:hint="eastAsia" w:ascii="宋体" w:hAnsi="宋体" w:cs="宋体"/>
          <w:szCs w:val="21"/>
        </w:rPr>
        <w:t>投标人名称：___________________</w:t>
      </w:r>
    </w:p>
    <w:p w14:paraId="0F2F03A3">
      <w:pPr>
        <w:spacing w:line="360" w:lineRule="auto"/>
        <w:ind w:firstLine="420" w:firstLineChars="200"/>
        <w:rPr>
          <w:rFonts w:hint="eastAsia" w:ascii="宋体" w:hAnsi="宋体" w:cs="宋体"/>
          <w:szCs w:val="21"/>
        </w:rPr>
      </w:pPr>
      <w:r>
        <w:rPr>
          <w:rFonts w:hint="eastAsia" w:ascii="宋体" w:hAnsi="宋体" w:cs="宋体"/>
          <w:szCs w:val="21"/>
        </w:rPr>
        <w:t>单位性质：___________________</w:t>
      </w:r>
    </w:p>
    <w:p w14:paraId="1B952B97">
      <w:pPr>
        <w:spacing w:line="360" w:lineRule="auto"/>
        <w:ind w:firstLine="420" w:firstLineChars="200"/>
        <w:rPr>
          <w:rFonts w:hint="eastAsia" w:ascii="宋体" w:hAnsi="宋体" w:cs="宋体"/>
          <w:szCs w:val="21"/>
        </w:rPr>
      </w:pPr>
      <w:r>
        <w:rPr>
          <w:rFonts w:hint="eastAsia" w:ascii="宋体" w:hAnsi="宋体" w:cs="宋体"/>
          <w:szCs w:val="21"/>
        </w:rPr>
        <w:t>地址：_________________________</w:t>
      </w:r>
    </w:p>
    <w:p w14:paraId="2E2315B4">
      <w:pPr>
        <w:spacing w:line="360" w:lineRule="auto"/>
        <w:ind w:firstLine="420" w:firstLineChars="200"/>
        <w:rPr>
          <w:rFonts w:hint="eastAsia" w:ascii="宋体" w:hAnsi="宋体" w:cs="宋体"/>
          <w:szCs w:val="21"/>
        </w:rPr>
      </w:pPr>
      <w:r>
        <w:rPr>
          <w:rFonts w:hint="eastAsia" w:ascii="宋体" w:hAnsi="宋体" w:cs="宋体"/>
          <w:szCs w:val="21"/>
        </w:rPr>
        <w:t>成立时间：_______年______月____日</w:t>
      </w:r>
    </w:p>
    <w:p w14:paraId="02D470DE">
      <w:pPr>
        <w:spacing w:line="360" w:lineRule="auto"/>
        <w:ind w:firstLine="420" w:firstLineChars="200"/>
        <w:rPr>
          <w:rFonts w:hint="eastAsia" w:ascii="宋体" w:hAnsi="宋体" w:cs="宋体"/>
          <w:szCs w:val="21"/>
        </w:rPr>
      </w:pPr>
      <w:r>
        <w:rPr>
          <w:rFonts w:hint="eastAsia" w:ascii="宋体" w:hAnsi="宋体" w:cs="宋体"/>
          <w:szCs w:val="21"/>
        </w:rPr>
        <w:t>经营期限：___________________</w:t>
      </w:r>
    </w:p>
    <w:p w14:paraId="51F6767D">
      <w:pPr>
        <w:spacing w:line="360" w:lineRule="auto"/>
        <w:ind w:firstLine="420" w:firstLineChars="200"/>
        <w:rPr>
          <w:rFonts w:hint="eastAsia" w:ascii="宋体" w:hAnsi="宋体" w:cs="宋体"/>
          <w:szCs w:val="21"/>
        </w:rPr>
      </w:pPr>
      <w:r>
        <w:rPr>
          <w:rFonts w:hint="eastAsia" w:ascii="宋体" w:hAnsi="宋体" w:cs="宋体"/>
          <w:szCs w:val="21"/>
        </w:rPr>
        <w:t>姓名：__________ 性别：__________年龄：__________职务：______</w:t>
      </w:r>
    </w:p>
    <w:p w14:paraId="17A5AB2A">
      <w:pPr>
        <w:spacing w:line="360" w:lineRule="auto"/>
        <w:ind w:firstLine="420" w:firstLineChars="200"/>
        <w:rPr>
          <w:rFonts w:hint="eastAsia" w:ascii="宋体" w:hAnsi="宋体" w:cs="宋体"/>
          <w:szCs w:val="21"/>
        </w:rPr>
      </w:pPr>
      <w:r>
        <w:rPr>
          <w:rFonts w:hint="eastAsia" w:ascii="宋体" w:hAnsi="宋体" w:cs="宋体"/>
          <w:szCs w:val="21"/>
        </w:rPr>
        <w:t>系_____________________________（投标人名称）的法定代表人。</w:t>
      </w:r>
    </w:p>
    <w:p w14:paraId="4ED36269">
      <w:pPr>
        <w:spacing w:line="360" w:lineRule="auto"/>
        <w:ind w:firstLine="420" w:firstLineChars="200"/>
        <w:rPr>
          <w:rFonts w:hint="eastAsia" w:ascii="宋体" w:hAnsi="宋体" w:cs="宋体"/>
          <w:szCs w:val="21"/>
        </w:rPr>
      </w:pPr>
    </w:p>
    <w:p w14:paraId="0A068F6F">
      <w:pPr>
        <w:spacing w:line="360" w:lineRule="auto"/>
        <w:ind w:firstLine="420" w:firstLineChars="200"/>
        <w:rPr>
          <w:rFonts w:hint="eastAsia" w:ascii="宋体" w:hAnsi="宋体" w:cs="宋体"/>
          <w:szCs w:val="21"/>
        </w:rPr>
      </w:pPr>
      <w:r>
        <w:rPr>
          <w:rFonts w:hint="eastAsia" w:ascii="宋体" w:hAnsi="宋体" w:cs="宋体"/>
          <w:szCs w:val="21"/>
        </w:rPr>
        <w:t>特此证明。</w:t>
      </w:r>
    </w:p>
    <w:p w14:paraId="6192F891">
      <w:pPr>
        <w:spacing w:line="360" w:lineRule="auto"/>
        <w:ind w:firstLine="420" w:firstLineChars="200"/>
        <w:rPr>
          <w:rFonts w:hint="eastAsia" w:ascii="宋体" w:hAnsi="宋体" w:cs="宋体"/>
          <w:szCs w:val="21"/>
        </w:rPr>
      </w:pPr>
      <w:r>
        <w:rPr>
          <w:rFonts w:hint="eastAsia" w:ascii="宋体" w:hAnsi="宋体" w:cs="宋体"/>
          <w:szCs w:val="21"/>
        </w:rPr>
        <w:t>附：法定代表人身份证复印件</w:t>
      </w:r>
    </w:p>
    <w:p w14:paraId="615D059A">
      <w:pPr>
        <w:spacing w:line="360" w:lineRule="auto"/>
        <w:rPr>
          <w:rFonts w:hint="eastAsia" w:ascii="宋体" w:hAnsi="宋体" w:cs="宋体"/>
          <w:szCs w:val="21"/>
        </w:rPr>
      </w:pPr>
    </w:p>
    <w:p w14:paraId="6C885AE0">
      <w:pPr>
        <w:spacing w:line="360" w:lineRule="auto"/>
        <w:rPr>
          <w:rFonts w:hint="eastAsia" w:ascii="宋体" w:hAnsi="宋体" w:cs="宋体"/>
          <w:szCs w:val="21"/>
        </w:rPr>
      </w:pPr>
    </w:p>
    <w:p w14:paraId="5DFB9DD0">
      <w:pPr>
        <w:spacing w:line="360" w:lineRule="auto"/>
        <w:rPr>
          <w:rFonts w:hint="eastAsia" w:ascii="宋体" w:hAnsi="宋体" w:cs="宋体"/>
          <w:szCs w:val="21"/>
        </w:rPr>
      </w:pPr>
    </w:p>
    <w:p w14:paraId="55C05FD6">
      <w:pPr>
        <w:spacing w:line="360" w:lineRule="auto"/>
        <w:rPr>
          <w:rFonts w:hint="eastAsia" w:ascii="宋体" w:hAnsi="宋体" w:cs="宋体"/>
          <w:szCs w:val="21"/>
        </w:rPr>
      </w:pPr>
    </w:p>
    <w:p w14:paraId="224F62B9">
      <w:pPr>
        <w:spacing w:line="360" w:lineRule="auto"/>
        <w:rPr>
          <w:rFonts w:hint="eastAsia" w:ascii="宋体" w:hAnsi="宋体" w:cs="宋体"/>
          <w:szCs w:val="21"/>
        </w:rPr>
      </w:pPr>
    </w:p>
    <w:p w14:paraId="481215C8">
      <w:pPr>
        <w:spacing w:line="360" w:lineRule="auto"/>
        <w:rPr>
          <w:rFonts w:hint="eastAsia" w:ascii="宋体" w:hAnsi="宋体" w:cs="宋体"/>
          <w:szCs w:val="21"/>
        </w:rPr>
      </w:pPr>
    </w:p>
    <w:p w14:paraId="6A5B7C3C">
      <w:pPr>
        <w:spacing w:line="360" w:lineRule="auto"/>
        <w:ind w:firstLine="3990" w:firstLineChars="1900"/>
        <w:rPr>
          <w:rFonts w:hint="eastAsia"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 xml:space="preserve"> （电子签章）</w:t>
      </w:r>
    </w:p>
    <w:p w14:paraId="08AC4CD3">
      <w:pPr>
        <w:spacing w:line="360" w:lineRule="auto"/>
        <w:ind w:firstLine="3990" w:firstLineChars="1900"/>
        <w:rPr>
          <w:rFonts w:hint="eastAsia" w:ascii="宋体" w:hAnsi="宋体" w:cs="宋体"/>
          <w:szCs w:val="21"/>
        </w:rPr>
      </w:pPr>
      <w:r>
        <w:rPr>
          <w:rFonts w:hint="eastAsia" w:ascii="宋体" w:hAnsi="宋体" w:cs="宋体"/>
          <w:szCs w:val="21"/>
        </w:rPr>
        <w:t>日期：_____年_____月_____日</w:t>
      </w:r>
    </w:p>
    <w:p w14:paraId="3EAB0362">
      <w:pPr>
        <w:rPr>
          <w:rFonts w:hint="eastAsia" w:ascii="宋体" w:hAnsi="宋体" w:cs="宋体"/>
          <w:szCs w:val="21"/>
        </w:rPr>
      </w:pPr>
    </w:p>
    <w:p w14:paraId="56B16A18">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68"/>
    <w:p w14:paraId="7E5DA54F">
      <w:pPr>
        <w:pStyle w:val="4"/>
        <w:jc w:val="center"/>
        <w:rPr>
          <w:rFonts w:hint="eastAsia" w:ascii="宋体" w:hAnsi="宋体" w:eastAsia="宋体" w:cs="宋体"/>
          <w:sz w:val="21"/>
          <w:szCs w:val="21"/>
        </w:rPr>
      </w:pPr>
      <w:bookmarkStart w:id="269" w:name="_Toc118733375"/>
      <w:bookmarkStart w:id="270" w:name="_Hlk122705657"/>
      <w:r>
        <w:rPr>
          <w:rFonts w:hint="eastAsia" w:ascii="宋体" w:hAnsi="宋体" w:eastAsia="宋体" w:cs="宋体"/>
          <w:sz w:val="21"/>
          <w:szCs w:val="21"/>
        </w:rPr>
        <w:t>三、授权委托书</w:t>
      </w:r>
      <w:bookmarkEnd w:id="269"/>
    </w:p>
    <w:p w14:paraId="6E1D11E4">
      <w:pPr>
        <w:topLinePunct/>
        <w:spacing w:line="360" w:lineRule="auto"/>
        <w:ind w:firstLine="420" w:firstLineChars="200"/>
        <w:rPr>
          <w:rFonts w:hint="eastAsia" w:ascii="宋体" w:hAnsi="宋体" w:cs="宋体"/>
          <w:szCs w:val="21"/>
        </w:rPr>
      </w:pPr>
      <w:r>
        <w:rPr>
          <w:rFonts w:hint="eastAsia" w:ascii="宋体" w:hAnsi="宋体" w:cs="宋体"/>
          <w:szCs w:val="21"/>
        </w:rPr>
        <w:t>本人</w:t>
      </w:r>
      <w:r>
        <w:rPr>
          <w:rFonts w:hint="eastAsia" w:ascii="宋体" w:hAnsi="宋体" w:cs="宋体"/>
          <w:szCs w:val="21"/>
          <w:u w:val="single"/>
        </w:rPr>
        <w:t xml:space="preserve">       </w:t>
      </w:r>
      <w:r>
        <w:rPr>
          <w:rFonts w:hint="eastAsia" w:ascii="宋体" w:hAnsi="宋体" w:cs="宋体"/>
          <w:szCs w:val="21"/>
        </w:rPr>
        <w:t>（姓名）系</w:t>
      </w:r>
      <w:r>
        <w:rPr>
          <w:rFonts w:hint="eastAsia" w:ascii="宋体" w:hAnsi="宋体" w:cs="宋体"/>
          <w:szCs w:val="21"/>
          <w:u w:val="single"/>
        </w:rPr>
        <w:t xml:space="preserve">                      </w:t>
      </w:r>
      <w:r>
        <w:rPr>
          <w:rFonts w:hint="eastAsia" w:ascii="宋体" w:hAnsi="宋体" w:cs="宋体"/>
          <w:szCs w:val="21"/>
        </w:rPr>
        <w:t>（投标人名称）的法定代表人，现委托</w:t>
      </w:r>
      <w:r>
        <w:rPr>
          <w:rFonts w:hint="eastAsia" w:ascii="宋体" w:hAnsi="宋体" w:cs="宋体"/>
          <w:szCs w:val="21"/>
          <w:u w:val="single"/>
        </w:rPr>
        <w:t xml:space="preserve">        </w:t>
      </w:r>
      <w:r>
        <w:rPr>
          <w:rFonts w:hint="eastAsia" w:ascii="宋体" w:hAnsi="宋体" w:cs="宋体"/>
          <w:szCs w:val="21"/>
        </w:rPr>
        <w:t>（姓名）为我方代理人。代理人根据授权，以我方名义签署、澄清、说明、补正、递交、撤回、修改</w:t>
      </w:r>
      <w:r>
        <w:rPr>
          <w:rFonts w:hint="eastAsia" w:ascii="宋体" w:hAnsi="宋体" w:cs="宋体"/>
          <w:szCs w:val="21"/>
          <w:u w:val="single"/>
        </w:rPr>
        <w:t xml:space="preserve">                                 </w:t>
      </w:r>
      <w:r>
        <w:rPr>
          <w:rFonts w:hint="eastAsia" w:ascii="宋体" w:hAnsi="宋体" w:cs="宋体"/>
          <w:szCs w:val="21"/>
        </w:rPr>
        <w:t>（项目名称）投标文件、签订合同和处理有关事宜，其法律后果由我方承担。</w:t>
      </w:r>
    </w:p>
    <w:p w14:paraId="07ED8C3A">
      <w:pPr>
        <w:spacing w:line="360" w:lineRule="auto"/>
        <w:rPr>
          <w:rFonts w:hint="eastAsia" w:ascii="宋体" w:hAnsi="宋体" w:cs="宋体"/>
          <w:szCs w:val="21"/>
        </w:rPr>
      </w:pPr>
      <w:r>
        <w:rPr>
          <w:rFonts w:hint="eastAsia" w:ascii="宋体" w:hAnsi="宋体" w:cs="宋体"/>
          <w:szCs w:val="21"/>
        </w:rPr>
        <w:t xml:space="preserve">    委托期限：</w:t>
      </w:r>
      <w:r>
        <w:rPr>
          <w:rFonts w:hint="eastAsia" w:ascii="宋体" w:hAnsi="宋体" w:cs="宋体"/>
          <w:szCs w:val="21"/>
          <w:u w:val="single"/>
        </w:rPr>
        <w:t xml:space="preserve">                       </w:t>
      </w:r>
    </w:p>
    <w:p w14:paraId="7AB7F4D1">
      <w:pPr>
        <w:spacing w:line="360" w:lineRule="auto"/>
        <w:ind w:firstLine="420" w:firstLineChars="200"/>
        <w:rPr>
          <w:rFonts w:hint="eastAsia" w:ascii="宋体" w:hAnsi="宋体" w:cs="宋体"/>
          <w:szCs w:val="21"/>
        </w:rPr>
      </w:pPr>
      <w:r>
        <w:rPr>
          <w:rFonts w:hint="eastAsia" w:ascii="宋体" w:hAnsi="宋体" w:cs="宋体"/>
          <w:szCs w:val="21"/>
        </w:rPr>
        <w:t>代理人无转委托权。</w:t>
      </w:r>
    </w:p>
    <w:p w14:paraId="3FD2721D">
      <w:pPr>
        <w:spacing w:line="360" w:lineRule="auto"/>
        <w:ind w:firstLine="420" w:firstLineChars="200"/>
        <w:rPr>
          <w:rFonts w:hint="eastAsia" w:ascii="宋体" w:hAnsi="宋体" w:cs="宋体"/>
          <w:szCs w:val="21"/>
        </w:rPr>
      </w:pPr>
      <w:r>
        <w:rPr>
          <w:rFonts w:hint="eastAsia" w:ascii="宋体" w:hAnsi="宋体" w:cs="宋体"/>
          <w:szCs w:val="21"/>
        </w:rPr>
        <w:t>附：法定代表人及委托代理人身份证复印件</w:t>
      </w:r>
    </w:p>
    <w:p w14:paraId="34616995">
      <w:pPr>
        <w:spacing w:line="360" w:lineRule="auto"/>
        <w:ind w:firstLine="420" w:firstLineChars="200"/>
        <w:rPr>
          <w:rFonts w:hint="eastAsia" w:ascii="宋体" w:hAnsi="宋体" w:cs="宋体"/>
          <w:szCs w:val="21"/>
        </w:rPr>
      </w:pPr>
    </w:p>
    <w:p w14:paraId="00042397">
      <w:pPr>
        <w:pStyle w:val="19"/>
        <w:ind w:firstLine="210"/>
        <w:rPr>
          <w:rFonts w:hint="eastAsia" w:ascii="宋体" w:hAnsi="宋体" w:cs="宋体"/>
          <w:szCs w:val="21"/>
        </w:rPr>
      </w:pPr>
    </w:p>
    <w:p w14:paraId="100B86FC">
      <w:pPr>
        <w:pStyle w:val="19"/>
        <w:ind w:firstLine="210"/>
        <w:rPr>
          <w:rFonts w:hint="eastAsia" w:ascii="宋体" w:hAnsi="宋体" w:cs="宋体"/>
          <w:szCs w:val="21"/>
        </w:rPr>
      </w:pPr>
    </w:p>
    <w:p w14:paraId="2CAC21D5">
      <w:pPr>
        <w:pStyle w:val="19"/>
        <w:ind w:firstLine="210"/>
        <w:rPr>
          <w:rFonts w:hint="eastAsia" w:ascii="宋体" w:hAnsi="宋体" w:cs="宋体"/>
          <w:szCs w:val="21"/>
        </w:rPr>
      </w:pPr>
    </w:p>
    <w:p w14:paraId="58B2E3EC">
      <w:pPr>
        <w:pStyle w:val="19"/>
        <w:ind w:firstLine="210"/>
        <w:rPr>
          <w:rFonts w:hint="eastAsia" w:ascii="宋体" w:hAnsi="宋体" w:cs="宋体"/>
          <w:szCs w:val="21"/>
        </w:rPr>
      </w:pPr>
    </w:p>
    <w:p w14:paraId="596D7880">
      <w:pPr>
        <w:pStyle w:val="19"/>
        <w:ind w:firstLine="210"/>
        <w:rPr>
          <w:rFonts w:hint="eastAsia" w:ascii="宋体" w:hAnsi="宋体" w:cs="宋体"/>
          <w:szCs w:val="21"/>
        </w:rPr>
      </w:pPr>
    </w:p>
    <w:p w14:paraId="3FB3C715">
      <w:pPr>
        <w:pStyle w:val="19"/>
        <w:ind w:firstLine="210"/>
        <w:rPr>
          <w:rFonts w:hint="eastAsia" w:ascii="宋体" w:hAnsi="宋体" w:cs="宋体"/>
          <w:szCs w:val="21"/>
        </w:rPr>
      </w:pPr>
    </w:p>
    <w:p w14:paraId="5B5197D3">
      <w:pPr>
        <w:pStyle w:val="19"/>
        <w:ind w:firstLine="2100" w:firstLineChars="1000"/>
        <w:rPr>
          <w:rFonts w:hint="eastAsia" w:ascii="宋体" w:hAnsi="宋体" w:cs="宋体"/>
          <w:szCs w:val="21"/>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14:paraId="122ED9B2">
      <w:pPr>
        <w:pStyle w:val="19"/>
        <w:ind w:firstLine="2100" w:firstLineChars="1000"/>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r>
        <w:rPr>
          <w:rFonts w:hint="eastAsia" w:ascii="宋体" w:hAnsi="宋体" w:cs="宋体"/>
          <w:szCs w:val="21"/>
        </w:rPr>
        <w:t>（电子签章）</w:t>
      </w:r>
    </w:p>
    <w:p w14:paraId="4818D50E">
      <w:pPr>
        <w:pStyle w:val="19"/>
        <w:ind w:firstLine="2047" w:firstLineChars="975"/>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5228B17">
      <w:pPr>
        <w:pStyle w:val="19"/>
        <w:ind w:firstLine="210"/>
        <w:rPr>
          <w:rFonts w:hint="eastAsia" w:ascii="宋体" w:hAnsi="宋体" w:cs="宋体"/>
          <w:szCs w:val="21"/>
        </w:rPr>
      </w:pPr>
    </w:p>
    <w:p w14:paraId="4AC4EAE5">
      <w:pPr>
        <w:pStyle w:val="19"/>
        <w:ind w:firstLine="210"/>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70"/>
    <w:p w14:paraId="424A1DE3">
      <w:pPr>
        <w:pStyle w:val="4"/>
        <w:jc w:val="center"/>
        <w:rPr>
          <w:rFonts w:hint="eastAsia" w:ascii="宋体" w:hAnsi="宋体" w:eastAsia="宋体" w:cs="宋体"/>
          <w:sz w:val="21"/>
          <w:szCs w:val="21"/>
        </w:rPr>
      </w:pPr>
      <w:bookmarkStart w:id="271" w:name="_Hlk122705736"/>
      <w:r>
        <w:rPr>
          <w:rFonts w:hint="eastAsia" w:ascii="宋体" w:hAnsi="宋体" w:eastAsia="宋体" w:cs="宋体"/>
          <w:sz w:val="21"/>
          <w:szCs w:val="21"/>
        </w:rPr>
        <w:t>四、分项明细报价表</w:t>
      </w:r>
    </w:p>
    <w:p w14:paraId="37CE301A">
      <w:pPr>
        <w:ind w:firstLine="7140" w:firstLineChars="3400"/>
        <w:rPr>
          <w:rFonts w:hint="eastAsia" w:ascii="宋体" w:hAnsi="宋体" w:cs="宋体"/>
          <w:szCs w:val="21"/>
        </w:rPr>
      </w:pPr>
      <w:r>
        <w:rPr>
          <w:rFonts w:hint="eastAsia" w:ascii="宋体" w:hAnsi="宋体" w:cs="宋体"/>
          <w:szCs w:val="21"/>
        </w:rPr>
        <w:t>单位：人民币元</w:t>
      </w:r>
    </w:p>
    <w:tbl>
      <w:tblPr>
        <w:tblStyle w:val="21"/>
        <w:tblW w:w="8603" w:type="dxa"/>
        <w:jc w:val="center"/>
        <w:tblLayout w:type="fixed"/>
        <w:tblCellMar>
          <w:top w:w="0" w:type="dxa"/>
          <w:left w:w="0" w:type="dxa"/>
          <w:bottom w:w="0" w:type="dxa"/>
          <w:right w:w="0" w:type="dxa"/>
        </w:tblCellMar>
      </w:tblPr>
      <w:tblGrid>
        <w:gridCol w:w="544"/>
        <w:gridCol w:w="1178"/>
        <w:gridCol w:w="1268"/>
        <w:gridCol w:w="747"/>
        <w:gridCol w:w="1072"/>
        <w:gridCol w:w="779"/>
        <w:gridCol w:w="859"/>
        <w:gridCol w:w="1118"/>
        <w:gridCol w:w="1038"/>
      </w:tblGrid>
      <w:tr w14:paraId="2F38BB44">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3E52BCD">
            <w:pPr>
              <w:spacing w:line="360" w:lineRule="auto"/>
              <w:jc w:val="center"/>
              <w:rPr>
                <w:rFonts w:hint="eastAsia" w:ascii="宋体" w:hAnsi="宋体" w:cs="宋体"/>
                <w:kern w:val="0"/>
                <w:szCs w:val="21"/>
              </w:rPr>
            </w:pPr>
            <w:r>
              <w:rPr>
                <w:rFonts w:hint="eastAsia" w:ascii="宋体" w:hAnsi="宋体" w:cs="宋体"/>
                <w:szCs w:val="21"/>
              </w:rPr>
              <w:t>序号</w:t>
            </w:r>
          </w:p>
        </w:tc>
        <w:tc>
          <w:tcPr>
            <w:tcW w:w="117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6C0BEFB4">
            <w:pPr>
              <w:spacing w:line="360" w:lineRule="auto"/>
              <w:jc w:val="center"/>
              <w:rPr>
                <w:rFonts w:hint="eastAsia" w:ascii="宋体" w:hAnsi="宋体" w:cs="宋体"/>
                <w:kern w:val="0"/>
                <w:szCs w:val="21"/>
              </w:rPr>
            </w:pPr>
            <w:r>
              <w:rPr>
                <w:rFonts w:hint="eastAsia" w:ascii="宋体" w:hAnsi="宋体" w:cs="宋体"/>
                <w:szCs w:val="21"/>
              </w:rPr>
              <w:t>设备名称</w:t>
            </w:r>
          </w:p>
        </w:tc>
        <w:tc>
          <w:tcPr>
            <w:tcW w:w="126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7F3BBB4B">
            <w:pPr>
              <w:spacing w:line="360" w:lineRule="auto"/>
              <w:jc w:val="center"/>
              <w:rPr>
                <w:rFonts w:hint="eastAsia" w:ascii="宋体" w:hAnsi="宋体" w:cs="宋体"/>
                <w:kern w:val="0"/>
                <w:szCs w:val="21"/>
              </w:rPr>
            </w:pPr>
            <w:r>
              <w:rPr>
                <w:rFonts w:hint="eastAsia" w:ascii="Microsoft YaHei UI" w:hAnsi="Microsoft YaHei UI" w:eastAsia="Microsoft YaHei UI" w:cs="Microsoft YaHei UI"/>
                <w:i w:val="0"/>
                <w:iCs w:val="0"/>
                <w:color w:val="000000"/>
                <w:spacing w:val="0"/>
                <w:w w:val="100"/>
                <w:kern w:val="0"/>
                <w:position w:val="0"/>
                <w:sz w:val="20"/>
                <w:szCs w:val="20"/>
                <w:u w:val="none"/>
                <w:shd w:val="clear" w:color="auto" w:fill="auto"/>
                <w:lang w:val="en-US" w:eastAsia="zh-CN" w:bidi="ar"/>
              </w:rPr>
              <w:t>参数要求</w:t>
            </w:r>
          </w:p>
        </w:tc>
        <w:tc>
          <w:tcPr>
            <w:tcW w:w="747" w:type="dxa"/>
            <w:tcBorders>
              <w:top w:val="single" w:color="auto" w:sz="4" w:space="0"/>
              <w:left w:val="nil"/>
              <w:bottom w:val="single" w:color="auto" w:sz="4" w:space="0"/>
              <w:right w:val="single" w:color="auto" w:sz="4" w:space="0"/>
            </w:tcBorders>
            <w:vAlign w:val="center"/>
          </w:tcPr>
          <w:p w14:paraId="3329CBEA">
            <w:pPr>
              <w:spacing w:line="360" w:lineRule="auto"/>
              <w:jc w:val="center"/>
              <w:rPr>
                <w:rFonts w:hint="eastAsia" w:ascii="宋体" w:hAnsi="宋体" w:cs="宋体"/>
                <w:kern w:val="0"/>
                <w:szCs w:val="21"/>
              </w:rPr>
            </w:pPr>
            <w:r>
              <w:rPr>
                <w:rFonts w:hint="eastAsia" w:ascii="宋体" w:hAnsi="宋体" w:cs="宋体"/>
                <w:szCs w:val="21"/>
              </w:rPr>
              <w:t>单位</w:t>
            </w:r>
          </w:p>
        </w:tc>
        <w:tc>
          <w:tcPr>
            <w:tcW w:w="1072" w:type="dxa"/>
            <w:tcBorders>
              <w:top w:val="single" w:color="auto" w:sz="4" w:space="0"/>
              <w:left w:val="nil"/>
              <w:bottom w:val="single" w:color="auto" w:sz="4" w:space="0"/>
              <w:right w:val="single" w:color="auto" w:sz="4" w:space="0"/>
            </w:tcBorders>
            <w:vAlign w:val="center"/>
          </w:tcPr>
          <w:p w14:paraId="090CCF9C">
            <w:pPr>
              <w:spacing w:line="360" w:lineRule="auto"/>
              <w:jc w:val="center"/>
              <w:rPr>
                <w:rFonts w:hint="eastAsia" w:ascii="宋体" w:hAnsi="宋体" w:cs="宋体"/>
                <w:kern w:val="0"/>
                <w:szCs w:val="21"/>
              </w:rPr>
            </w:pPr>
            <w:r>
              <w:rPr>
                <w:rFonts w:hint="eastAsia" w:ascii="宋体" w:hAnsi="宋体" w:cs="宋体"/>
                <w:szCs w:val="21"/>
              </w:rPr>
              <w:t>数量</w:t>
            </w:r>
          </w:p>
        </w:tc>
        <w:tc>
          <w:tcPr>
            <w:tcW w:w="779"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1262262">
            <w:pPr>
              <w:spacing w:line="360" w:lineRule="auto"/>
              <w:jc w:val="center"/>
              <w:rPr>
                <w:rFonts w:hint="eastAsia" w:ascii="宋体" w:hAnsi="宋体" w:cs="宋体"/>
                <w:szCs w:val="21"/>
              </w:rPr>
            </w:pPr>
            <w:r>
              <w:rPr>
                <w:rFonts w:hint="eastAsia" w:ascii="宋体" w:hAnsi="宋体" w:cs="宋体"/>
                <w:szCs w:val="21"/>
              </w:rPr>
              <w:t>品牌</w:t>
            </w:r>
          </w:p>
          <w:p w14:paraId="0292C9EF">
            <w:pPr>
              <w:spacing w:line="360" w:lineRule="auto"/>
              <w:jc w:val="center"/>
              <w:rPr>
                <w:rFonts w:hint="eastAsia" w:ascii="宋体" w:hAnsi="宋体" w:cs="宋体"/>
                <w:kern w:val="0"/>
                <w:szCs w:val="21"/>
              </w:rPr>
            </w:pPr>
            <w:r>
              <w:rPr>
                <w:rFonts w:hint="eastAsia" w:ascii="宋体" w:hAnsi="宋体" w:cs="宋体"/>
                <w:szCs w:val="21"/>
              </w:rPr>
              <w:t>（若有）</w:t>
            </w:r>
          </w:p>
        </w:tc>
        <w:tc>
          <w:tcPr>
            <w:tcW w:w="859"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1E3256B8">
            <w:pPr>
              <w:spacing w:line="360" w:lineRule="auto"/>
              <w:jc w:val="center"/>
              <w:rPr>
                <w:rFonts w:hint="eastAsia" w:ascii="宋体" w:hAnsi="宋体" w:cs="宋体"/>
                <w:kern w:val="0"/>
                <w:szCs w:val="21"/>
              </w:rPr>
            </w:pPr>
            <w:r>
              <w:rPr>
                <w:rFonts w:hint="eastAsia" w:ascii="宋体" w:hAnsi="宋体" w:cs="宋体"/>
                <w:szCs w:val="21"/>
              </w:rPr>
              <w:t>单价（元）</w:t>
            </w:r>
          </w:p>
        </w:tc>
        <w:tc>
          <w:tcPr>
            <w:tcW w:w="111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63D1C75F">
            <w:pPr>
              <w:spacing w:line="360" w:lineRule="auto"/>
              <w:jc w:val="center"/>
              <w:rPr>
                <w:rFonts w:hint="eastAsia" w:ascii="宋体" w:hAnsi="宋体" w:cs="宋体"/>
                <w:szCs w:val="21"/>
              </w:rPr>
            </w:pPr>
            <w:r>
              <w:rPr>
                <w:rFonts w:hint="eastAsia" w:ascii="宋体" w:hAnsi="宋体" w:cs="宋体"/>
                <w:szCs w:val="21"/>
              </w:rPr>
              <w:t>总价</w:t>
            </w:r>
          </w:p>
          <w:p w14:paraId="5D898C63">
            <w:pPr>
              <w:spacing w:line="360" w:lineRule="auto"/>
              <w:jc w:val="center"/>
              <w:rPr>
                <w:rFonts w:hint="eastAsia" w:ascii="宋体" w:hAnsi="宋体" w:cs="宋体"/>
                <w:kern w:val="0"/>
                <w:szCs w:val="21"/>
              </w:rPr>
            </w:pPr>
            <w:r>
              <w:rPr>
                <w:rFonts w:hint="eastAsia" w:ascii="宋体" w:hAnsi="宋体" w:cs="宋体"/>
                <w:szCs w:val="21"/>
              </w:rPr>
              <w:t>（元）</w:t>
            </w:r>
          </w:p>
        </w:tc>
        <w:tc>
          <w:tcPr>
            <w:tcW w:w="1038" w:type="dxa"/>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14:paraId="4B4EA2BF">
            <w:pPr>
              <w:spacing w:line="360" w:lineRule="auto"/>
              <w:jc w:val="center"/>
              <w:rPr>
                <w:rFonts w:hint="eastAsia" w:ascii="宋体" w:hAnsi="宋体" w:cs="宋体"/>
                <w:kern w:val="0"/>
                <w:szCs w:val="21"/>
              </w:rPr>
            </w:pPr>
            <w:r>
              <w:rPr>
                <w:rFonts w:hint="eastAsia" w:ascii="宋体" w:hAnsi="宋体" w:cs="宋体"/>
                <w:szCs w:val="21"/>
              </w:rPr>
              <w:t>备注</w:t>
            </w:r>
          </w:p>
        </w:tc>
      </w:tr>
      <w:tr w14:paraId="6232BE0E">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FEFEA50">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15836655">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23334153">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5D504094">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A543AC4">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2D009B15">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07149F0E">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6D54EDAA">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4B48F8BA">
            <w:pPr>
              <w:spacing w:line="360" w:lineRule="auto"/>
              <w:jc w:val="center"/>
              <w:rPr>
                <w:rFonts w:hint="eastAsia" w:ascii="宋体" w:hAnsi="宋体" w:cs="宋体"/>
                <w:kern w:val="0"/>
                <w:szCs w:val="21"/>
              </w:rPr>
            </w:pPr>
          </w:p>
        </w:tc>
      </w:tr>
      <w:tr w14:paraId="4E94D1E3">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A9BA8DD">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6AAF045F">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7F193416">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2370EB9C">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21A89A50">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08F5E42F">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751A00FD">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11551EAA">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615DA81C">
            <w:pPr>
              <w:spacing w:line="360" w:lineRule="auto"/>
              <w:jc w:val="center"/>
              <w:rPr>
                <w:rFonts w:hint="eastAsia" w:ascii="宋体" w:hAnsi="宋体" w:cs="宋体"/>
                <w:kern w:val="0"/>
                <w:szCs w:val="21"/>
              </w:rPr>
            </w:pPr>
          </w:p>
        </w:tc>
      </w:tr>
      <w:tr w14:paraId="4CCD9FB5">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37F210C6">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376A5B61">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7CD8A101">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30C541AC">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D886113">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63475ED1">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4BE5B02C">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5CE25941">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3FA3FB90">
            <w:pPr>
              <w:spacing w:line="360" w:lineRule="auto"/>
              <w:jc w:val="center"/>
              <w:rPr>
                <w:rFonts w:hint="eastAsia" w:ascii="宋体" w:hAnsi="宋体" w:cs="宋体"/>
                <w:kern w:val="0"/>
                <w:szCs w:val="21"/>
              </w:rPr>
            </w:pPr>
          </w:p>
        </w:tc>
      </w:tr>
      <w:tr w14:paraId="0433C51C">
        <w:tblPrEx>
          <w:tblCellMar>
            <w:top w:w="0" w:type="dxa"/>
            <w:left w:w="0" w:type="dxa"/>
            <w:bottom w:w="0" w:type="dxa"/>
            <w:right w:w="0" w:type="dxa"/>
          </w:tblCellMar>
        </w:tblPrEx>
        <w:trPr>
          <w:trHeight w:val="1089"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4B250B2">
            <w:pPr>
              <w:spacing w:line="360" w:lineRule="auto"/>
              <w:jc w:val="center"/>
              <w:rPr>
                <w:rFonts w:hint="eastAsia" w:ascii="宋体" w:hAnsi="宋体" w:cs="宋体"/>
                <w:kern w:val="0"/>
                <w:szCs w:val="21"/>
              </w:rPr>
            </w:pPr>
          </w:p>
        </w:tc>
        <w:tc>
          <w:tcPr>
            <w:tcW w:w="1178" w:type="dxa"/>
            <w:tcBorders>
              <w:top w:val="nil"/>
              <w:left w:val="nil"/>
              <w:bottom w:val="single" w:color="auto" w:sz="4" w:space="0"/>
              <w:right w:val="single" w:color="auto" w:sz="4" w:space="0"/>
            </w:tcBorders>
            <w:tcMar>
              <w:top w:w="17" w:type="dxa"/>
              <w:left w:w="17" w:type="dxa"/>
              <w:bottom w:w="0" w:type="dxa"/>
              <w:right w:w="17" w:type="dxa"/>
            </w:tcMar>
            <w:vAlign w:val="center"/>
          </w:tcPr>
          <w:p w14:paraId="44E001B2">
            <w:pPr>
              <w:spacing w:line="360" w:lineRule="auto"/>
              <w:jc w:val="center"/>
              <w:rPr>
                <w:rFonts w:hint="eastAsia" w:ascii="宋体" w:hAnsi="宋体" w:cs="宋体"/>
                <w:kern w:val="0"/>
                <w:szCs w:val="21"/>
              </w:rPr>
            </w:pPr>
          </w:p>
        </w:tc>
        <w:tc>
          <w:tcPr>
            <w:tcW w:w="1268" w:type="dxa"/>
            <w:tcBorders>
              <w:top w:val="nil"/>
              <w:left w:val="nil"/>
              <w:bottom w:val="single" w:color="auto" w:sz="4" w:space="0"/>
              <w:right w:val="single" w:color="auto" w:sz="4" w:space="0"/>
            </w:tcBorders>
            <w:tcMar>
              <w:top w:w="17" w:type="dxa"/>
              <w:left w:w="17" w:type="dxa"/>
              <w:bottom w:w="0" w:type="dxa"/>
              <w:right w:w="17" w:type="dxa"/>
            </w:tcMar>
            <w:vAlign w:val="center"/>
          </w:tcPr>
          <w:p w14:paraId="0D528ECB">
            <w:pPr>
              <w:spacing w:line="360" w:lineRule="auto"/>
              <w:jc w:val="center"/>
              <w:rPr>
                <w:rFonts w:hint="eastAsia" w:ascii="宋体" w:hAnsi="宋体" w:cs="宋体"/>
                <w:kern w:val="0"/>
                <w:szCs w:val="21"/>
              </w:rPr>
            </w:pPr>
          </w:p>
        </w:tc>
        <w:tc>
          <w:tcPr>
            <w:tcW w:w="747" w:type="dxa"/>
            <w:tcBorders>
              <w:top w:val="nil"/>
              <w:left w:val="nil"/>
              <w:bottom w:val="single" w:color="auto" w:sz="4" w:space="0"/>
              <w:right w:val="single" w:color="auto" w:sz="4" w:space="0"/>
            </w:tcBorders>
            <w:vAlign w:val="center"/>
          </w:tcPr>
          <w:p w14:paraId="085E4CBE">
            <w:pPr>
              <w:spacing w:line="360" w:lineRule="auto"/>
              <w:jc w:val="center"/>
              <w:rPr>
                <w:rFonts w:hint="eastAsia" w:ascii="宋体" w:hAnsi="宋体"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1938FAA">
            <w:pPr>
              <w:spacing w:line="360" w:lineRule="auto"/>
              <w:jc w:val="center"/>
              <w:rPr>
                <w:rFonts w:hint="eastAsia" w:ascii="宋体" w:hAnsi="宋体" w:cs="宋体"/>
                <w:kern w:val="0"/>
                <w:szCs w:val="21"/>
              </w:rPr>
            </w:pPr>
          </w:p>
        </w:tc>
        <w:tc>
          <w:tcPr>
            <w:tcW w:w="779" w:type="dxa"/>
            <w:tcBorders>
              <w:top w:val="nil"/>
              <w:left w:val="single" w:color="auto" w:sz="4" w:space="0"/>
              <w:bottom w:val="single" w:color="auto" w:sz="4" w:space="0"/>
              <w:right w:val="single" w:color="auto" w:sz="4" w:space="0"/>
            </w:tcBorders>
            <w:tcMar>
              <w:top w:w="17" w:type="dxa"/>
              <w:left w:w="17" w:type="dxa"/>
              <w:bottom w:w="0" w:type="dxa"/>
              <w:right w:w="17" w:type="dxa"/>
            </w:tcMar>
            <w:vAlign w:val="center"/>
          </w:tcPr>
          <w:p w14:paraId="0C4D7A8D">
            <w:pPr>
              <w:spacing w:line="360" w:lineRule="auto"/>
              <w:jc w:val="center"/>
              <w:rPr>
                <w:rFonts w:hint="eastAsia" w:ascii="宋体" w:hAnsi="宋体" w:cs="宋体"/>
                <w:kern w:val="0"/>
                <w:szCs w:val="21"/>
              </w:rPr>
            </w:pPr>
          </w:p>
        </w:tc>
        <w:tc>
          <w:tcPr>
            <w:tcW w:w="859" w:type="dxa"/>
            <w:tcBorders>
              <w:top w:val="nil"/>
              <w:left w:val="nil"/>
              <w:bottom w:val="single" w:color="auto" w:sz="4" w:space="0"/>
              <w:right w:val="single" w:color="auto" w:sz="4" w:space="0"/>
            </w:tcBorders>
            <w:tcMar>
              <w:top w:w="17" w:type="dxa"/>
              <w:left w:w="17" w:type="dxa"/>
              <w:bottom w:w="0" w:type="dxa"/>
              <w:right w:w="17" w:type="dxa"/>
            </w:tcMar>
            <w:vAlign w:val="center"/>
          </w:tcPr>
          <w:p w14:paraId="3724B9A8">
            <w:pPr>
              <w:spacing w:line="360" w:lineRule="auto"/>
              <w:jc w:val="center"/>
              <w:rPr>
                <w:rFonts w:hint="eastAsia" w:ascii="宋体" w:hAnsi="宋体" w:cs="宋体"/>
                <w:kern w:val="0"/>
                <w:szCs w:val="21"/>
              </w:rPr>
            </w:pPr>
          </w:p>
        </w:tc>
        <w:tc>
          <w:tcPr>
            <w:tcW w:w="1118" w:type="dxa"/>
            <w:tcBorders>
              <w:top w:val="nil"/>
              <w:left w:val="nil"/>
              <w:bottom w:val="single" w:color="auto" w:sz="4" w:space="0"/>
              <w:right w:val="single" w:color="auto" w:sz="4" w:space="0"/>
            </w:tcBorders>
            <w:tcMar>
              <w:top w:w="17" w:type="dxa"/>
              <w:left w:w="17" w:type="dxa"/>
              <w:bottom w:w="0" w:type="dxa"/>
              <w:right w:w="17" w:type="dxa"/>
            </w:tcMar>
            <w:vAlign w:val="center"/>
          </w:tcPr>
          <w:p w14:paraId="197893D8">
            <w:pPr>
              <w:spacing w:line="360" w:lineRule="auto"/>
              <w:jc w:val="center"/>
              <w:rPr>
                <w:rFonts w:hint="eastAsia" w:ascii="宋体" w:hAnsi="宋体" w:cs="宋体"/>
                <w:kern w:val="0"/>
                <w:szCs w:val="21"/>
              </w:rPr>
            </w:pPr>
          </w:p>
        </w:tc>
        <w:tc>
          <w:tcPr>
            <w:tcW w:w="1038" w:type="dxa"/>
            <w:tcBorders>
              <w:top w:val="nil"/>
              <w:left w:val="nil"/>
              <w:bottom w:val="single" w:color="auto" w:sz="4" w:space="0"/>
              <w:right w:val="single" w:color="auto" w:sz="4" w:space="0"/>
            </w:tcBorders>
            <w:tcMar>
              <w:top w:w="17" w:type="dxa"/>
              <w:left w:w="17" w:type="dxa"/>
              <w:bottom w:w="0" w:type="dxa"/>
              <w:right w:w="17" w:type="dxa"/>
            </w:tcMar>
            <w:vAlign w:val="center"/>
          </w:tcPr>
          <w:p w14:paraId="0B5C4640">
            <w:pPr>
              <w:spacing w:line="360" w:lineRule="auto"/>
              <w:jc w:val="center"/>
              <w:rPr>
                <w:rFonts w:hint="eastAsia" w:ascii="宋体" w:hAnsi="宋体" w:cs="宋体"/>
                <w:kern w:val="0"/>
                <w:szCs w:val="21"/>
              </w:rPr>
            </w:pPr>
          </w:p>
        </w:tc>
      </w:tr>
      <w:tr w14:paraId="0D538BB9">
        <w:tblPrEx>
          <w:tblCellMar>
            <w:top w:w="0" w:type="dxa"/>
            <w:left w:w="0" w:type="dxa"/>
            <w:bottom w:w="0" w:type="dxa"/>
            <w:right w:w="0" w:type="dxa"/>
          </w:tblCellMar>
        </w:tblPrEx>
        <w:trPr>
          <w:trHeight w:val="1472"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4B5357EE">
            <w:pPr>
              <w:spacing w:line="360" w:lineRule="auto"/>
              <w:jc w:val="center"/>
              <w:rPr>
                <w:rFonts w:hint="eastAsia" w:ascii="宋体" w:hAnsi="宋体" w:cs="宋体"/>
                <w:kern w:val="0"/>
                <w:szCs w:val="21"/>
              </w:rPr>
            </w:pPr>
          </w:p>
        </w:tc>
        <w:tc>
          <w:tcPr>
            <w:tcW w:w="117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4B81B7D">
            <w:pPr>
              <w:spacing w:line="360" w:lineRule="auto"/>
              <w:jc w:val="center"/>
              <w:rPr>
                <w:rFonts w:hint="eastAsia" w:ascii="宋体" w:hAnsi="宋体" w:cs="宋体"/>
                <w:szCs w:val="21"/>
              </w:rPr>
            </w:pPr>
          </w:p>
        </w:tc>
        <w:tc>
          <w:tcPr>
            <w:tcW w:w="126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5A7D5E7B">
            <w:pPr>
              <w:spacing w:line="360" w:lineRule="auto"/>
              <w:jc w:val="center"/>
              <w:rPr>
                <w:rFonts w:hint="eastAsia" w:ascii="宋体" w:hAnsi="宋体" w:cs="宋体"/>
                <w:szCs w:val="21"/>
              </w:rPr>
            </w:pPr>
          </w:p>
        </w:tc>
        <w:tc>
          <w:tcPr>
            <w:tcW w:w="747"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D8D431C">
            <w:pPr>
              <w:spacing w:line="360" w:lineRule="auto"/>
              <w:jc w:val="center"/>
              <w:rPr>
                <w:rFonts w:hint="eastAsia" w:ascii="宋体" w:hAnsi="宋体" w:cs="宋体"/>
                <w:szCs w:val="21"/>
              </w:rPr>
            </w:pPr>
          </w:p>
        </w:tc>
        <w:tc>
          <w:tcPr>
            <w:tcW w:w="1072"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51C6F98">
            <w:pPr>
              <w:spacing w:line="360" w:lineRule="auto"/>
              <w:jc w:val="center"/>
              <w:rPr>
                <w:rFonts w:hint="eastAsia" w:ascii="宋体" w:hAnsi="宋体" w:cs="宋体"/>
                <w:szCs w:val="21"/>
              </w:rPr>
            </w:pPr>
          </w:p>
        </w:tc>
        <w:tc>
          <w:tcPr>
            <w:tcW w:w="779"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96C9C4F">
            <w:pPr>
              <w:spacing w:line="360" w:lineRule="auto"/>
              <w:jc w:val="center"/>
              <w:rPr>
                <w:rFonts w:hint="eastAsia" w:ascii="宋体" w:hAnsi="宋体" w:cs="宋体"/>
                <w:szCs w:val="21"/>
              </w:rPr>
            </w:pPr>
          </w:p>
        </w:tc>
        <w:tc>
          <w:tcPr>
            <w:tcW w:w="859"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979F93A">
            <w:pPr>
              <w:spacing w:line="360" w:lineRule="auto"/>
              <w:jc w:val="center"/>
              <w:rPr>
                <w:rFonts w:hint="eastAsia" w:ascii="宋体" w:hAnsi="宋体" w:cs="宋体"/>
                <w:szCs w:val="21"/>
              </w:rPr>
            </w:pPr>
          </w:p>
        </w:tc>
        <w:tc>
          <w:tcPr>
            <w:tcW w:w="111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78384C16">
            <w:pPr>
              <w:spacing w:line="360" w:lineRule="auto"/>
              <w:jc w:val="center"/>
              <w:rPr>
                <w:rFonts w:hint="eastAsia" w:ascii="宋体" w:hAnsi="宋体" w:cs="宋体"/>
                <w:szCs w:val="21"/>
              </w:rPr>
            </w:pPr>
          </w:p>
        </w:tc>
        <w:tc>
          <w:tcPr>
            <w:tcW w:w="1038"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0AFD1BEF">
            <w:pPr>
              <w:spacing w:line="360" w:lineRule="auto"/>
              <w:jc w:val="center"/>
              <w:rPr>
                <w:rFonts w:hint="eastAsia" w:ascii="宋体" w:hAnsi="宋体" w:cs="宋体"/>
                <w:szCs w:val="21"/>
              </w:rPr>
            </w:pPr>
          </w:p>
        </w:tc>
      </w:tr>
      <w:tr w14:paraId="1A444B6C">
        <w:tblPrEx>
          <w:tblCellMar>
            <w:top w:w="0" w:type="dxa"/>
            <w:left w:w="0" w:type="dxa"/>
            <w:bottom w:w="0" w:type="dxa"/>
            <w:right w:w="0" w:type="dxa"/>
          </w:tblCellMar>
        </w:tblPrEx>
        <w:trPr>
          <w:trHeight w:val="904" w:hRule="atLeast"/>
          <w:jc w:val="center"/>
        </w:trPr>
        <w:tc>
          <w:tcPr>
            <w:tcW w:w="544" w:type="dxa"/>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657FD638">
            <w:pPr>
              <w:spacing w:line="360" w:lineRule="auto"/>
              <w:jc w:val="center"/>
              <w:rPr>
                <w:rFonts w:hint="eastAsia" w:ascii="宋体" w:hAnsi="宋体" w:cs="宋体"/>
                <w:kern w:val="0"/>
                <w:szCs w:val="21"/>
              </w:rPr>
            </w:pPr>
            <w:r>
              <w:rPr>
                <w:rFonts w:hint="eastAsia" w:ascii="宋体" w:hAnsi="宋体" w:cs="宋体"/>
                <w:kern w:val="0"/>
                <w:szCs w:val="21"/>
              </w:rPr>
              <w:t>合计</w:t>
            </w:r>
          </w:p>
        </w:tc>
        <w:tc>
          <w:tcPr>
            <w:tcW w:w="8059" w:type="dxa"/>
            <w:gridSpan w:val="8"/>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14:paraId="14AEC7DD">
            <w:pPr>
              <w:spacing w:line="360" w:lineRule="auto"/>
              <w:rPr>
                <w:rFonts w:hint="eastAsia" w:ascii="宋体" w:hAnsi="宋体" w:cs="宋体"/>
                <w:szCs w:val="21"/>
              </w:rPr>
            </w:pPr>
            <w:r>
              <w:rPr>
                <w:rFonts w:hint="eastAsia" w:ascii="宋体" w:hAnsi="宋体" w:cs="宋体"/>
                <w:szCs w:val="21"/>
              </w:rPr>
              <w:t>总价：</w:t>
            </w:r>
          </w:p>
        </w:tc>
      </w:tr>
    </w:tbl>
    <w:p w14:paraId="4BDA8249">
      <w:pPr>
        <w:spacing w:line="360" w:lineRule="auto"/>
        <w:ind w:firstLine="210" w:firstLineChars="100"/>
        <w:jc w:val="left"/>
        <w:rPr>
          <w:rFonts w:hint="eastAsia" w:ascii="宋体" w:hAnsi="宋体" w:cs="宋体"/>
          <w:kern w:val="0"/>
          <w:szCs w:val="21"/>
        </w:rPr>
      </w:pPr>
      <w:r>
        <w:rPr>
          <w:rFonts w:hint="eastAsia" w:ascii="宋体" w:hAnsi="宋体" w:cs="宋体"/>
          <w:szCs w:val="21"/>
        </w:rPr>
        <w:t>备注：投标报价应包含：投标人投标报价包括完成该项目成本、利润、验收费、手续费、包装费、运输费、保险费、安装费、调试费、售前、售中、运维服务费、税金及不可预见费等全部费用。</w:t>
      </w:r>
    </w:p>
    <w:p w14:paraId="40B1A3E7">
      <w:pPr>
        <w:spacing w:line="360" w:lineRule="auto"/>
        <w:ind w:firstLine="210" w:firstLineChars="100"/>
        <w:jc w:val="left"/>
        <w:rPr>
          <w:rFonts w:hint="eastAsia" w:ascii="宋体" w:hAnsi="宋体" w:cs="宋体"/>
          <w:kern w:val="0"/>
          <w:szCs w:val="21"/>
        </w:rPr>
      </w:pPr>
      <w:r>
        <w:rPr>
          <w:rFonts w:hint="eastAsia" w:ascii="宋体" w:hAnsi="宋体" w:cs="宋体"/>
          <w:kern w:val="0"/>
          <w:szCs w:val="21"/>
        </w:rPr>
        <w:t>（表格不够可续页）</w:t>
      </w:r>
    </w:p>
    <w:p w14:paraId="18A1DB91">
      <w:pPr>
        <w:spacing w:line="360" w:lineRule="auto"/>
        <w:jc w:val="right"/>
        <w:rPr>
          <w:rFonts w:hint="eastAsia" w:ascii="宋体" w:hAnsi="宋体" w:cs="宋体"/>
          <w:szCs w:val="21"/>
        </w:rPr>
      </w:pPr>
    </w:p>
    <w:p w14:paraId="4BA62C0E">
      <w:pPr>
        <w:spacing w:line="360" w:lineRule="auto"/>
        <w:jc w:val="right"/>
        <w:rPr>
          <w:rFonts w:hint="eastAsia" w:ascii="宋体" w:hAnsi="宋体" w:cs="宋体"/>
          <w:szCs w:val="21"/>
        </w:rPr>
      </w:pPr>
    </w:p>
    <w:p w14:paraId="5FE9A577">
      <w:pPr>
        <w:spacing w:line="360" w:lineRule="auto"/>
        <w:jc w:val="right"/>
        <w:rPr>
          <w:rFonts w:hint="eastAsia" w:ascii="宋体" w:hAnsi="宋体" w:cs="宋体"/>
          <w:szCs w:val="21"/>
        </w:rPr>
      </w:pPr>
    </w:p>
    <w:p w14:paraId="4022BC7E">
      <w:pPr>
        <w:spacing w:line="360" w:lineRule="auto"/>
        <w:jc w:val="right"/>
        <w:rPr>
          <w:rFonts w:hint="eastAsia" w:ascii="宋体" w:hAnsi="宋体" w:cs="宋体"/>
          <w:szCs w:val="21"/>
          <w:u w:val="single"/>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14:paraId="112F134A">
      <w:pPr>
        <w:spacing w:line="360" w:lineRule="auto"/>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（电子签章）</w:t>
      </w:r>
    </w:p>
    <w:p w14:paraId="0B7B21A3">
      <w:pPr>
        <w:spacing w:line="360" w:lineRule="auto"/>
        <w:jc w:val="righ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bookmarkEnd w:id="271"/>
    <w:p w14:paraId="44940238">
      <w:pPr>
        <w:spacing w:line="360" w:lineRule="auto"/>
        <w:jc w:val="center"/>
        <w:outlineLvl w:val="1"/>
        <w:rPr>
          <w:rFonts w:hint="eastAsia" w:ascii="宋体" w:hAnsi="宋体" w:cs="宋体"/>
          <w:b/>
          <w:szCs w:val="21"/>
        </w:rPr>
      </w:pPr>
      <w:bookmarkStart w:id="272" w:name="_Toc246997106"/>
      <w:bookmarkStart w:id="273" w:name="_Toc152042584"/>
      <w:bookmarkStart w:id="274" w:name="_Toc246996363"/>
      <w:bookmarkStart w:id="275" w:name="_Toc4540"/>
      <w:bookmarkStart w:id="276" w:name="_Toc144974863"/>
      <w:bookmarkStart w:id="277" w:name="_Toc29989164"/>
      <w:bookmarkStart w:id="278" w:name="_Hlk122705787"/>
      <w:bookmarkStart w:id="279" w:name="_Toc247085881"/>
      <w:bookmarkStart w:id="280" w:name="_Toc179632815"/>
      <w:bookmarkStart w:id="281" w:name="_Toc118733377"/>
      <w:bookmarkStart w:id="282" w:name="_Toc152045795"/>
    </w:p>
    <w:p w14:paraId="269DA8BD">
      <w:pPr>
        <w:spacing w:line="360" w:lineRule="auto"/>
        <w:jc w:val="center"/>
        <w:outlineLvl w:val="1"/>
        <w:rPr>
          <w:rFonts w:hint="eastAsia" w:ascii="宋体" w:hAnsi="宋体" w:cs="宋体"/>
          <w:szCs w:val="21"/>
        </w:rPr>
      </w:pPr>
      <w:r>
        <w:rPr>
          <w:rFonts w:hint="eastAsia" w:ascii="宋体" w:hAnsi="宋体" w:cs="宋体"/>
          <w:b/>
          <w:szCs w:val="21"/>
        </w:rPr>
        <w:t>五、</w:t>
      </w:r>
      <w:bookmarkEnd w:id="272"/>
      <w:bookmarkEnd w:id="273"/>
      <w:bookmarkEnd w:id="274"/>
      <w:bookmarkEnd w:id="275"/>
      <w:bookmarkEnd w:id="276"/>
      <w:bookmarkEnd w:id="277"/>
      <w:bookmarkEnd w:id="278"/>
      <w:bookmarkEnd w:id="279"/>
      <w:bookmarkEnd w:id="280"/>
      <w:bookmarkEnd w:id="281"/>
      <w:bookmarkEnd w:id="282"/>
      <w:r>
        <w:rPr>
          <w:rFonts w:hint="eastAsia" w:ascii="宋体" w:hAnsi="宋体" w:cs="宋体"/>
          <w:b/>
          <w:szCs w:val="21"/>
        </w:rPr>
        <w:t>技术要求响应偏离表</w:t>
      </w:r>
    </w:p>
    <w:tbl>
      <w:tblPr>
        <w:tblStyle w:val="21"/>
        <w:tblW w:w="9194" w:type="dxa"/>
        <w:jc w:val="center"/>
        <w:tblLayout w:type="fixed"/>
        <w:tblCellMar>
          <w:top w:w="0" w:type="dxa"/>
          <w:left w:w="108" w:type="dxa"/>
          <w:bottom w:w="0" w:type="dxa"/>
          <w:right w:w="108" w:type="dxa"/>
        </w:tblCellMar>
      </w:tblPr>
      <w:tblGrid>
        <w:gridCol w:w="709"/>
        <w:gridCol w:w="1129"/>
        <w:gridCol w:w="2268"/>
        <w:gridCol w:w="2250"/>
        <w:gridCol w:w="2144"/>
        <w:gridCol w:w="694"/>
      </w:tblGrid>
      <w:tr w14:paraId="2370C904">
        <w:tblPrEx>
          <w:tblCellMar>
            <w:top w:w="0" w:type="dxa"/>
            <w:left w:w="108" w:type="dxa"/>
            <w:bottom w:w="0" w:type="dxa"/>
            <w:right w:w="108" w:type="dxa"/>
          </w:tblCellMar>
        </w:tblPrEx>
        <w:trPr>
          <w:cantSplit/>
          <w:trHeight w:val="518" w:hRule="atLeast"/>
          <w:jc w:val="center"/>
        </w:trPr>
        <w:tc>
          <w:tcPr>
            <w:tcW w:w="709" w:type="dxa"/>
            <w:vMerge w:val="restart"/>
            <w:tcBorders>
              <w:top w:val="single" w:color="auto" w:sz="4" w:space="0"/>
              <w:left w:val="single" w:color="auto" w:sz="4" w:space="0"/>
              <w:bottom w:val="single" w:color="auto" w:sz="6" w:space="0"/>
              <w:right w:val="single" w:color="auto" w:sz="6" w:space="0"/>
            </w:tcBorders>
            <w:vAlign w:val="center"/>
          </w:tcPr>
          <w:p w14:paraId="522095EB">
            <w:pPr>
              <w:jc w:val="center"/>
              <w:rPr>
                <w:rFonts w:hint="eastAsia" w:ascii="宋体" w:hAnsi="宋体" w:cs="宋体"/>
                <w:kern w:val="0"/>
                <w:szCs w:val="21"/>
              </w:rPr>
            </w:pPr>
            <w:r>
              <w:rPr>
                <w:rFonts w:hint="eastAsia" w:ascii="宋体" w:hAnsi="宋体" w:cs="宋体"/>
                <w:kern w:val="0"/>
                <w:szCs w:val="21"/>
              </w:rPr>
              <w:t>序号</w:t>
            </w:r>
          </w:p>
        </w:tc>
        <w:tc>
          <w:tcPr>
            <w:tcW w:w="1129" w:type="dxa"/>
            <w:vMerge w:val="restart"/>
            <w:tcBorders>
              <w:top w:val="single" w:color="auto" w:sz="4" w:space="0"/>
              <w:left w:val="single" w:color="auto" w:sz="6" w:space="0"/>
              <w:right w:val="single" w:color="auto" w:sz="4" w:space="0"/>
            </w:tcBorders>
            <w:vAlign w:val="center"/>
          </w:tcPr>
          <w:p w14:paraId="1CE227F5">
            <w:pPr>
              <w:spacing w:line="360" w:lineRule="auto"/>
              <w:jc w:val="center"/>
              <w:rPr>
                <w:rFonts w:hint="eastAsia" w:ascii="宋体" w:hAnsi="宋体" w:cs="宋体"/>
                <w:kern w:val="0"/>
                <w:szCs w:val="21"/>
              </w:rPr>
            </w:pPr>
            <w:r>
              <w:rPr>
                <w:rFonts w:hint="eastAsia" w:ascii="宋体" w:hAnsi="宋体" w:cs="宋体"/>
                <w:kern w:val="0"/>
                <w:szCs w:val="21"/>
                <w:lang w:eastAsia="zh-CN"/>
              </w:rPr>
              <w:t>设备名称</w:t>
            </w:r>
          </w:p>
        </w:tc>
        <w:tc>
          <w:tcPr>
            <w:tcW w:w="4518" w:type="dxa"/>
            <w:gridSpan w:val="2"/>
            <w:tcBorders>
              <w:top w:val="single" w:color="auto" w:sz="4" w:space="0"/>
              <w:left w:val="single" w:color="auto" w:sz="4" w:space="0"/>
              <w:bottom w:val="single" w:color="auto" w:sz="6" w:space="0"/>
              <w:right w:val="single" w:color="auto" w:sz="6" w:space="0"/>
            </w:tcBorders>
            <w:vAlign w:val="center"/>
          </w:tcPr>
          <w:p w14:paraId="0911884F">
            <w:pPr>
              <w:jc w:val="center"/>
              <w:rPr>
                <w:rFonts w:hint="eastAsia" w:ascii="宋体" w:hAnsi="宋体" w:cs="宋体"/>
                <w:kern w:val="0"/>
                <w:szCs w:val="21"/>
              </w:rPr>
            </w:pPr>
            <w:r>
              <w:rPr>
                <w:rFonts w:hint="eastAsia" w:ascii="宋体" w:hAnsi="宋体" w:cs="宋体"/>
                <w:kern w:val="0"/>
                <w:szCs w:val="21"/>
              </w:rPr>
              <w:t>技术参数</w:t>
            </w:r>
          </w:p>
        </w:tc>
        <w:tc>
          <w:tcPr>
            <w:tcW w:w="2144" w:type="dxa"/>
            <w:vMerge w:val="restart"/>
            <w:tcBorders>
              <w:top w:val="single" w:color="auto" w:sz="4" w:space="0"/>
              <w:left w:val="single" w:color="auto" w:sz="6" w:space="0"/>
              <w:bottom w:val="single" w:color="auto" w:sz="6" w:space="0"/>
              <w:right w:val="single" w:color="auto" w:sz="6" w:space="0"/>
            </w:tcBorders>
            <w:vAlign w:val="center"/>
          </w:tcPr>
          <w:p w14:paraId="7D9F4925">
            <w:pPr>
              <w:jc w:val="center"/>
              <w:rPr>
                <w:rFonts w:hint="eastAsia" w:ascii="宋体" w:hAnsi="宋体" w:cs="宋体"/>
                <w:kern w:val="0"/>
                <w:szCs w:val="21"/>
              </w:rPr>
            </w:pPr>
            <w:r>
              <w:rPr>
                <w:rFonts w:hint="eastAsia" w:ascii="宋体" w:hAnsi="宋体" w:cs="宋体"/>
                <w:kern w:val="0"/>
                <w:szCs w:val="21"/>
              </w:rPr>
              <w:t>偏离情况及说明</w:t>
            </w:r>
          </w:p>
        </w:tc>
        <w:tc>
          <w:tcPr>
            <w:tcW w:w="694" w:type="dxa"/>
            <w:vMerge w:val="restart"/>
            <w:tcBorders>
              <w:top w:val="single" w:color="auto" w:sz="4" w:space="0"/>
              <w:left w:val="single" w:color="auto" w:sz="6" w:space="0"/>
              <w:bottom w:val="single" w:color="auto" w:sz="6" w:space="0"/>
              <w:right w:val="single" w:color="auto" w:sz="4" w:space="0"/>
            </w:tcBorders>
            <w:vAlign w:val="center"/>
          </w:tcPr>
          <w:p w14:paraId="7C5CDFB4">
            <w:pPr>
              <w:jc w:val="center"/>
              <w:rPr>
                <w:rFonts w:hint="eastAsia" w:ascii="宋体" w:hAnsi="宋体" w:cs="宋体"/>
                <w:kern w:val="0"/>
                <w:szCs w:val="21"/>
              </w:rPr>
            </w:pPr>
            <w:r>
              <w:rPr>
                <w:rFonts w:hint="eastAsia" w:ascii="宋体" w:hAnsi="宋体" w:cs="宋体"/>
                <w:kern w:val="0"/>
                <w:szCs w:val="21"/>
              </w:rPr>
              <w:t>备注</w:t>
            </w:r>
          </w:p>
        </w:tc>
      </w:tr>
      <w:tr w14:paraId="5443B534">
        <w:tblPrEx>
          <w:tblCellMar>
            <w:top w:w="0" w:type="dxa"/>
            <w:left w:w="108" w:type="dxa"/>
            <w:bottom w:w="0" w:type="dxa"/>
            <w:right w:w="108" w:type="dxa"/>
          </w:tblCellMar>
        </w:tblPrEx>
        <w:trPr>
          <w:cantSplit/>
          <w:trHeight w:val="761" w:hRule="atLeast"/>
          <w:jc w:val="center"/>
        </w:trPr>
        <w:tc>
          <w:tcPr>
            <w:tcW w:w="709" w:type="dxa"/>
            <w:vMerge w:val="continue"/>
            <w:tcBorders>
              <w:top w:val="single" w:color="auto" w:sz="4" w:space="0"/>
              <w:left w:val="single" w:color="auto" w:sz="4" w:space="0"/>
              <w:bottom w:val="single" w:color="auto" w:sz="6" w:space="0"/>
              <w:right w:val="single" w:color="auto" w:sz="6" w:space="0"/>
            </w:tcBorders>
            <w:vAlign w:val="center"/>
          </w:tcPr>
          <w:p w14:paraId="42E531B2">
            <w:pPr>
              <w:jc w:val="left"/>
              <w:rPr>
                <w:rFonts w:hint="eastAsia" w:ascii="宋体" w:hAnsi="宋体" w:cs="宋体"/>
                <w:kern w:val="0"/>
                <w:szCs w:val="21"/>
              </w:rPr>
            </w:pPr>
          </w:p>
        </w:tc>
        <w:tc>
          <w:tcPr>
            <w:tcW w:w="1129" w:type="dxa"/>
            <w:vMerge w:val="continue"/>
            <w:tcBorders>
              <w:left w:val="single" w:color="auto" w:sz="6" w:space="0"/>
              <w:bottom w:val="single" w:color="auto" w:sz="6" w:space="0"/>
              <w:right w:val="single" w:color="auto" w:sz="4" w:space="0"/>
            </w:tcBorders>
            <w:vAlign w:val="center"/>
          </w:tcPr>
          <w:p w14:paraId="061C5252">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75D5CF93">
            <w:pPr>
              <w:jc w:val="center"/>
              <w:rPr>
                <w:rFonts w:hint="eastAsia" w:ascii="宋体" w:hAnsi="宋体" w:cs="宋体"/>
                <w:kern w:val="0"/>
                <w:szCs w:val="21"/>
              </w:rPr>
            </w:pPr>
            <w:r>
              <w:rPr>
                <w:rFonts w:hint="eastAsia" w:ascii="宋体" w:hAnsi="宋体" w:cs="宋体"/>
                <w:szCs w:val="21"/>
              </w:rPr>
              <w:t>招标文件</w:t>
            </w:r>
            <w:r>
              <w:rPr>
                <w:rFonts w:hint="eastAsia" w:ascii="宋体" w:hAnsi="宋体" w:cs="宋体"/>
                <w:kern w:val="0"/>
                <w:szCs w:val="21"/>
              </w:rPr>
              <w:t>技术参数</w:t>
            </w:r>
          </w:p>
        </w:tc>
        <w:tc>
          <w:tcPr>
            <w:tcW w:w="2250" w:type="dxa"/>
            <w:tcBorders>
              <w:top w:val="single" w:color="auto" w:sz="6" w:space="0"/>
              <w:left w:val="single" w:color="auto" w:sz="6" w:space="0"/>
              <w:bottom w:val="single" w:color="auto" w:sz="6" w:space="0"/>
              <w:right w:val="single" w:color="auto" w:sz="6" w:space="0"/>
            </w:tcBorders>
            <w:vAlign w:val="center"/>
          </w:tcPr>
          <w:p w14:paraId="4C8EC829">
            <w:pPr>
              <w:spacing w:line="360" w:lineRule="auto"/>
              <w:jc w:val="center"/>
              <w:rPr>
                <w:rFonts w:hint="eastAsia" w:ascii="宋体" w:hAnsi="宋体" w:cs="宋体"/>
                <w:kern w:val="0"/>
                <w:szCs w:val="21"/>
              </w:rPr>
            </w:pPr>
            <w:r>
              <w:rPr>
                <w:rFonts w:hint="eastAsia" w:ascii="宋体" w:hAnsi="宋体" w:cs="宋体"/>
                <w:kern w:val="0"/>
                <w:szCs w:val="21"/>
              </w:rPr>
              <w:t>投标文件技术参数</w:t>
            </w:r>
          </w:p>
        </w:tc>
        <w:tc>
          <w:tcPr>
            <w:tcW w:w="2144" w:type="dxa"/>
            <w:vMerge w:val="continue"/>
            <w:tcBorders>
              <w:top w:val="single" w:color="auto" w:sz="4" w:space="0"/>
              <w:left w:val="single" w:color="auto" w:sz="6" w:space="0"/>
              <w:bottom w:val="single" w:color="auto" w:sz="6" w:space="0"/>
              <w:right w:val="single" w:color="auto" w:sz="6" w:space="0"/>
            </w:tcBorders>
            <w:vAlign w:val="center"/>
          </w:tcPr>
          <w:p w14:paraId="233C8960">
            <w:pPr>
              <w:jc w:val="left"/>
              <w:rPr>
                <w:rFonts w:hint="eastAsia" w:ascii="宋体" w:hAnsi="宋体" w:cs="宋体"/>
                <w:kern w:val="0"/>
                <w:szCs w:val="21"/>
              </w:rPr>
            </w:pPr>
          </w:p>
        </w:tc>
        <w:tc>
          <w:tcPr>
            <w:tcW w:w="694" w:type="dxa"/>
            <w:vMerge w:val="continue"/>
            <w:tcBorders>
              <w:top w:val="single" w:color="auto" w:sz="4" w:space="0"/>
              <w:left w:val="single" w:color="auto" w:sz="6" w:space="0"/>
              <w:bottom w:val="single" w:color="auto" w:sz="6" w:space="0"/>
              <w:right w:val="single" w:color="auto" w:sz="4" w:space="0"/>
            </w:tcBorders>
            <w:vAlign w:val="center"/>
          </w:tcPr>
          <w:p w14:paraId="552742A2">
            <w:pPr>
              <w:jc w:val="left"/>
              <w:rPr>
                <w:rFonts w:hint="eastAsia" w:ascii="宋体" w:hAnsi="宋体" w:cs="宋体"/>
                <w:kern w:val="0"/>
                <w:szCs w:val="21"/>
              </w:rPr>
            </w:pPr>
          </w:p>
        </w:tc>
      </w:tr>
      <w:tr w14:paraId="310950F4">
        <w:tblPrEx>
          <w:tblCellMar>
            <w:top w:w="0" w:type="dxa"/>
            <w:left w:w="108" w:type="dxa"/>
            <w:bottom w:w="0" w:type="dxa"/>
            <w:right w:w="108" w:type="dxa"/>
          </w:tblCellMar>
        </w:tblPrEx>
        <w:trPr>
          <w:trHeight w:val="799"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7920EE6E">
            <w:pPr>
              <w:jc w:val="center"/>
              <w:rPr>
                <w:rFonts w:hint="eastAsia" w:ascii="宋体" w:hAnsi="宋体" w:cs="宋体"/>
                <w:kern w:val="0"/>
                <w:szCs w:val="21"/>
              </w:rPr>
            </w:pPr>
            <w:r>
              <w:rPr>
                <w:rFonts w:hint="eastAsia" w:ascii="宋体" w:hAnsi="宋体" w:cs="宋体"/>
                <w:kern w:val="0"/>
                <w:szCs w:val="21"/>
              </w:rPr>
              <w:t>1</w:t>
            </w:r>
          </w:p>
        </w:tc>
        <w:tc>
          <w:tcPr>
            <w:tcW w:w="1129" w:type="dxa"/>
            <w:tcBorders>
              <w:top w:val="single" w:color="auto" w:sz="6" w:space="0"/>
              <w:left w:val="single" w:color="auto" w:sz="6" w:space="0"/>
              <w:bottom w:val="single" w:color="auto" w:sz="6" w:space="0"/>
              <w:right w:val="single" w:color="auto" w:sz="4" w:space="0"/>
            </w:tcBorders>
            <w:vAlign w:val="center"/>
          </w:tcPr>
          <w:p w14:paraId="4651F914">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23D83BA1">
            <w:pPr>
              <w:jc w:val="center"/>
              <w:rPr>
                <w:rFonts w:hint="eastAsia" w:ascii="宋体" w:hAnsi="宋体" w:cs="宋体"/>
                <w:kern w:val="0"/>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1125517E">
            <w:pPr>
              <w:jc w:val="center"/>
              <w:rPr>
                <w:rFonts w:hint="eastAsia" w:ascii="宋体" w:hAnsi="宋体" w:cs="宋体"/>
                <w:kern w:val="0"/>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19DE80C0">
            <w:pPr>
              <w:jc w:val="center"/>
              <w:rPr>
                <w:rFonts w:hint="eastAsia" w:ascii="宋体" w:hAnsi="宋体" w:cs="宋体"/>
                <w:kern w:val="0"/>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2328A234">
            <w:pPr>
              <w:jc w:val="center"/>
              <w:rPr>
                <w:rFonts w:hint="eastAsia" w:ascii="宋体" w:hAnsi="宋体" w:cs="宋体"/>
                <w:kern w:val="0"/>
                <w:szCs w:val="21"/>
              </w:rPr>
            </w:pPr>
          </w:p>
        </w:tc>
      </w:tr>
      <w:tr w14:paraId="31615640">
        <w:tblPrEx>
          <w:tblCellMar>
            <w:top w:w="0" w:type="dxa"/>
            <w:left w:w="108" w:type="dxa"/>
            <w:bottom w:w="0" w:type="dxa"/>
            <w:right w:w="108" w:type="dxa"/>
          </w:tblCellMar>
        </w:tblPrEx>
        <w:trPr>
          <w:trHeight w:val="781"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5321D267">
            <w:pPr>
              <w:jc w:val="center"/>
              <w:rPr>
                <w:rFonts w:hint="eastAsia" w:ascii="宋体" w:hAnsi="宋体" w:cs="宋体"/>
                <w:kern w:val="0"/>
                <w:szCs w:val="21"/>
              </w:rPr>
            </w:pPr>
            <w:r>
              <w:rPr>
                <w:rFonts w:hint="eastAsia" w:ascii="宋体" w:hAnsi="宋体" w:cs="宋体"/>
                <w:kern w:val="0"/>
                <w:szCs w:val="21"/>
              </w:rPr>
              <w:t>2</w:t>
            </w:r>
          </w:p>
        </w:tc>
        <w:tc>
          <w:tcPr>
            <w:tcW w:w="1129" w:type="dxa"/>
            <w:tcBorders>
              <w:top w:val="single" w:color="auto" w:sz="6" w:space="0"/>
              <w:left w:val="single" w:color="auto" w:sz="6" w:space="0"/>
              <w:bottom w:val="single" w:color="auto" w:sz="6" w:space="0"/>
              <w:right w:val="single" w:color="auto" w:sz="4" w:space="0"/>
            </w:tcBorders>
            <w:vAlign w:val="center"/>
          </w:tcPr>
          <w:p w14:paraId="0C52BADF">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5D6C9E89">
            <w:pPr>
              <w:jc w:val="center"/>
              <w:rPr>
                <w:rFonts w:hint="eastAsia" w:ascii="宋体" w:hAnsi="宋体" w:cs="宋体"/>
                <w:kern w:val="0"/>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698EECFB">
            <w:pPr>
              <w:jc w:val="center"/>
              <w:rPr>
                <w:rFonts w:hint="eastAsia" w:ascii="宋体" w:hAnsi="宋体" w:cs="宋体"/>
                <w:kern w:val="0"/>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206AF899">
            <w:pPr>
              <w:jc w:val="center"/>
              <w:rPr>
                <w:rFonts w:hint="eastAsia" w:ascii="宋体" w:hAnsi="宋体" w:cs="宋体"/>
                <w:kern w:val="0"/>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20039765">
            <w:pPr>
              <w:jc w:val="center"/>
              <w:rPr>
                <w:rFonts w:hint="eastAsia" w:ascii="宋体" w:hAnsi="宋体" w:cs="宋体"/>
                <w:kern w:val="0"/>
                <w:szCs w:val="21"/>
              </w:rPr>
            </w:pPr>
          </w:p>
        </w:tc>
      </w:tr>
      <w:tr w14:paraId="23A68011">
        <w:tblPrEx>
          <w:tblCellMar>
            <w:top w:w="0" w:type="dxa"/>
            <w:left w:w="108" w:type="dxa"/>
            <w:bottom w:w="0" w:type="dxa"/>
            <w:right w:w="108" w:type="dxa"/>
          </w:tblCellMar>
        </w:tblPrEx>
        <w:trPr>
          <w:trHeight w:val="791" w:hRule="atLeast"/>
          <w:jc w:val="center"/>
        </w:trPr>
        <w:tc>
          <w:tcPr>
            <w:tcW w:w="709" w:type="dxa"/>
            <w:tcBorders>
              <w:top w:val="single" w:color="auto" w:sz="6" w:space="0"/>
              <w:left w:val="single" w:color="auto" w:sz="4" w:space="0"/>
              <w:bottom w:val="single" w:color="auto" w:sz="6" w:space="0"/>
              <w:right w:val="single" w:color="auto" w:sz="6" w:space="0"/>
            </w:tcBorders>
            <w:vAlign w:val="center"/>
          </w:tcPr>
          <w:p w14:paraId="319A57EF">
            <w:pPr>
              <w:jc w:val="center"/>
              <w:rPr>
                <w:rFonts w:hint="eastAsia" w:ascii="宋体" w:hAnsi="宋体" w:cs="宋体"/>
                <w:kern w:val="0"/>
                <w:szCs w:val="21"/>
              </w:rPr>
            </w:pPr>
            <w:r>
              <w:rPr>
                <w:rFonts w:hint="eastAsia" w:ascii="宋体" w:hAnsi="宋体" w:cs="宋体"/>
                <w:kern w:val="0"/>
                <w:szCs w:val="21"/>
              </w:rPr>
              <w:t>3</w:t>
            </w:r>
          </w:p>
        </w:tc>
        <w:tc>
          <w:tcPr>
            <w:tcW w:w="1129" w:type="dxa"/>
            <w:tcBorders>
              <w:top w:val="single" w:color="auto" w:sz="6" w:space="0"/>
              <w:left w:val="single" w:color="auto" w:sz="6" w:space="0"/>
              <w:bottom w:val="single" w:color="auto" w:sz="6" w:space="0"/>
              <w:right w:val="single" w:color="auto" w:sz="4" w:space="0"/>
            </w:tcBorders>
            <w:vAlign w:val="center"/>
          </w:tcPr>
          <w:p w14:paraId="342939B1">
            <w:pPr>
              <w:jc w:val="center"/>
              <w:rPr>
                <w:rFonts w:hint="eastAsia" w:ascii="宋体" w:hAnsi="宋体" w:cs="宋体"/>
                <w:kern w:val="0"/>
                <w:szCs w:val="21"/>
              </w:rPr>
            </w:pPr>
          </w:p>
        </w:tc>
        <w:tc>
          <w:tcPr>
            <w:tcW w:w="2268" w:type="dxa"/>
            <w:tcBorders>
              <w:top w:val="single" w:color="auto" w:sz="6" w:space="0"/>
              <w:left w:val="single" w:color="auto" w:sz="4" w:space="0"/>
              <w:bottom w:val="single" w:color="auto" w:sz="6" w:space="0"/>
              <w:right w:val="single" w:color="auto" w:sz="6" w:space="0"/>
            </w:tcBorders>
            <w:vAlign w:val="center"/>
          </w:tcPr>
          <w:p w14:paraId="3D851640">
            <w:pPr>
              <w:jc w:val="center"/>
              <w:rPr>
                <w:rFonts w:hint="eastAsia" w:ascii="宋体" w:hAnsi="宋体" w:cs="宋体"/>
                <w:kern w:val="0"/>
                <w:szCs w:val="21"/>
              </w:rPr>
            </w:pPr>
          </w:p>
        </w:tc>
        <w:tc>
          <w:tcPr>
            <w:tcW w:w="2250" w:type="dxa"/>
            <w:tcBorders>
              <w:top w:val="single" w:color="auto" w:sz="6" w:space="0"/>
              <w:left w:val="single" w:color="auto" w:sz="6" w:space="0"/>
              <w:bottom w:val="single" w:color="auto" w:sz="6" w:space="0"/>
              <w:right w:val="single" w:color="auto" w:sz="6" w:space="0"/>
            </w:tcBorders>
            <w:vAlign w:val="center"/>
          </w:tcPr>
          <w:p w14:paraId="24E02D82">
            <w:pPr>
              <w:jc w:val="center"/>
              <w:rPr>
                <w:rFonts w:hint="eastAsia" w:ascii="宋体" w:hAnsi="宋体" w:cs="宋体"/>
                <w:kern w:val="0"/>
                <w:szCs w:val="21"/>
              </w:rPr>
            </w:pPr>
          </w:p>
        </w:tc>
        <w:tc>
          <w:tcPr>
            <w:tcW w:w="2144" w:type="dxa"/>
            <w:tcBorders>
              <w:top w:val="single" w:color="auto" w:sz="6" w:space="0"/>
              <w:left w:val="single" w:color="auto" w:sz="6" w:space="0"/>
              <w:bottom w:val="single" w:color="auto" w:sz="6" w:space="0"/>
              <w:right w:val="single" w:color="auto" w:sz="6" w:space="0"/>
            </w:tcBorders>
            <w:vAlign w:val="center"/>
          </w:tcPr>
          <w:p w14:paraId="53B706F4">
            <w:pPr>
              <w:jc w:val="center"/>
              <w:rPr>
                <w:rFonts w:hint="eastAsia" w:ascii="宋体" w:hAnsi="宋体" w:cs="宋体"/>
                <w:kern w:val="0"/>
                <w:szCs w:val="21"/>
              </w:rPr>
            </w:pPr>
          </w:p>
        </w:tc>
        <w:tc>
          <w:tcPr>
            <w:tcW w:w="694" w:type="dxa"/>
            <w:tcBorders>
              <w:top w:val="single" w:color="auto" w:sz="6" w:space="0"/>
              <w:left w:val="single" w:color="auto" w:sz="6" w:space="0"/>
              <w:bottom w:val="single" w:color="auto" w:sz="6" w:space="0"/>
              <w:right w:val="single" w:color="auto" w:sz="4" w:space="0"/>
            </w:tcBorders>
            <w:vAlign w:val="center"/>
          </w:tcPr>
          <w:p w14:paraId="7C77681A">
            <w:pPr>
              <w:jc w:val="center"/>
              <w:rPr>
                <w:rFonts w:hint="eastAsia" w:ascii="宋体" w:hAnsi="宋体" w:cs="宋体"/>
                <w:kern w:val="0"/>
                <w:szCs w:val="21"/>
              </w:rPr>
            </w:pPr>
          </w:p>
        </w:tc>
      </w:tr>
      <w:tr w14:paraId="0DD4FFEC">
        <w:tblPrEx>
          <w:tblCellMar>
            <w:top w:w="0" w:type="dxa"/>
            <w:left w:w="108" w:type="dxa"/>
            <w:bottom w:w="0" w:type="dxa"/>
            <w:right w:w="108" w:type="dxa"/>
          </w:tblCellMar>
        </w:tblPrEx>
        <w:trPr>
          <w:trHeight w:val="784" w:hRule="atLeast"/>
          <w:jc w:val="center"/>
        </w:trPr>
        <w:tc>
          <w:tcPr>
            <w:tcW w:w="709" w:type="dxa"/>
            <w:tcBorders>
              <w:top w:val="single" w:color="auto" w:sz="4" w:space="0"/>
              <w:left w:val="single" w:color="auto" w:sz="4" w:space="0"/>
              <w:bottom w:val="single" w:color="auto" w:sz="4" w:space="0"/>
              <w:right w:val="single" w:color="auto" w:sz="6" w:space="0"/>
            </w:tcBorders>
            <w:vAlign w:val="center"/>
          </w:tcPr>
          <w:p w14:paraId="7A31F204">
            <w:pPr>
              <w:jc w:val="center"/>
              <w:rPr>
                <w:rFonts w:hint="eastAsia" w:ascii="宋体" w:hAnsi="宋体" w:cs="宋体"/>
                <w:kern w:val="0"/>
                <w:szCs w:val="21"/>
              </w:rPr>
            </w:pPr>
            <w:r>
              <w:rPr>
                <w:rFonts w:hint="eastAsia" w:ascii="宋体" w:hAnsi="宋体" w:cs="宋体"/>
                <w:kern w:val="0"/>
                <w:szCs w:val="21"/>
              </w:rPr>
              <w:t>……</w:t>
            </w:r>
          </w:p>
        </w:tc>
        <w:tc>
          <w:tcPr>
            <w:tcW w:w="1129" w:type="dxa"/>
            <w:tcBorders>
              <w:top w:val="single" w:color="auto" w:sz="4" w:space="0"/>
              <w:left w:val="single" w:color="auto" w:sz="6" w:space="0"/>
              <w:bottom w:val="single" w:color="auto" w:sz="4" w:space="0"/>
              <w:right w:val="single" w:color="auto" w:sz="4" w:space="0"/>
            </w:tcBorders>
            <w:vAlign w:val="center"/>
          </w:tcPr>
          <w:p w14:paraId="266F1771">
            <w:pPr>
              <w:jc w:val="center"/>
              <w:rPr>
                <w:rFonts w:hint="eastAsia" w:ascii="宋体" w:hAnsi="宋体" w:cs="宋体"/>
                <w:kern w:val="0"/>
                <w:szCs w:val="21"/>
              </w:rPr>
            </w:pPr>
          </w:p>
        </w:tc>
        <w:tc>
          <w:tcPr>
            <w:tcW w:w="2268" w:type="dxa"/>
            <w:tcBorders>
              <w:top w:val="single" w:color="auto" w:sz="4" w:space="0"/>
              <w:left w:val="single" w:color="auto" w:sz="4" w:space="0"/>
              <w:bottom w:val="single" w:color="auto" w:sz="4" w:space="0"/>
              <w:right w:val="single" w:color="auto" w:sz="6" w:space="0"/>
            </w:tcBorders>
            <w:vAlign w:val="center"/>
          </w:tcPr>
          <w:p w14:paraId="09360452">
            <w:pPr>
              <w:jc w:val="center"/>
              <w:rPr>
                <w:rFonts w:hint="eastAsia" w:ascii="宋体" w:hAnsi="宋体" w:cs="宋体"/>
                <w:kern w:val="0"/>
                <w:szCs w:val="21"/>
              </w:rPr>
            </w:pPr>
          </w:p>
        </w:tc>
        <w:tc>
          <w:tcPr>
            <w:tcW w:w="2250" w:type="dxa"/>
            <w:tcBorders>
              <w:top w:val="single" w:color="auto" w:sz="4" w:space="0"/>
              <w:left w:val="single" w:color="auto" w:sz="6" w:space="0"/>
              <w:bottom w:val="single" w:color="auto" w:sz="4" w:space="0"/>
              <w:right w:val="single" w:color="auto" w:sz="6" w:space="0"/>
            </w:tcBorders>
            <w:vAlign w:val="center"/>
          </w:tcPr>
          <w:p w14:paraId="1E354FB2">
            <w:pPr>
              <w:jc w:val="center"/>
              <w:rPr>
                <w:rFonts w:hint="eastAsia" w:ascii="宋体" w:hAnsi="宋体" w:cs="宋体"/>
                <w:kern w:val="0"/>
                <w:szCs w:val="21"/>
              </w:rPr>
            </w:pPr>
          </w:p>
        </w:tc>
        <w:tc>
          <w:tcPr>
            <w:tcW w:w="2144" w:type="dxa"/>
            <w:tcBorders>
              <w:top w:val="single" w:color="auto" w:sz="4" w:space="0"/>
              <w:left w:val="single" w:color="auto" w:sz="6" w:space="0"/>
              <w:bottom w:val="single" w:color="auto" w:sz="4" w:space="0"/>
              <w:right w:val="single" w:color="auto" w:sz="6" w:space="0"/>
            </w:tcBorders>
            <w:vAlign w:val="center"/>
          </w:tcPr>
          <w:p w14:paraId="42DBF749">
            <w:pPr>
              <w:jc w:val="center"/>
              <w:rPr>
                <w:rFonts w:hint="eastAsia" w:ascii="宋体" w:hAnsi="宋体" w:cs="宋体"/>
                <w:kern w:val="0"/>
                <w:szCs w:val="21"/>
              </w:rPr>
            </w:pPr>
          </w:p>
        </w:tc>
        <w:tc>
          <w:tcPr>
            <w:tcW w:w="694" w:type="dxa"/>
            <w:tcBorders>
              <w:top w:val="single" w:color="auto" w:sz="4" w:space="0"/>
              <w:left w:val="single" w:color="auto" w:sz="6" w:space="0"/>
              <w:bottom w:val="single" w:color="auto" w:sz="4" w:space="0"/>
              <w:right w:val="single" w:color="auto" w:sz="4" w:space="0"/>
            </w:tcBorders>
            <w:vAlign w:val="center"/>
          </w:tcPr>
          <w:p w14:paraId="0A8C7FA4">
            <w:pPr>
              <w:jc w:val="center"/>
              <w:rPr>
                <w:rFonts w:hint="eastAsia" w:ascii="宋体" w:hAnsi="宋体" w:cs="宋体"/>
                <w:kern w:val="0"/>
                <w:szCs w:val="21"/>
              </w:rPr>
            </w:pPr>
          </w:p>
        </w:tc>
      </w:tr>
    </w:tbl>
    <w:p w14:paraId="16239A45">
      <w:pPr>
        <w:spacing w:line="360" w:lineRule="auto"/>
        <w:ind w:firstLine="210" w:firstLineChars="100"/>
        <w:jc w:val="left"/>
        <w:rPr>
          <w:rFonts w:hint="eastAsia" w:ascii="宋体" w:hAnsi="宋体" w:cs="宋体"/>
          <w:kern w:val="0"/>
          <w:szCs w:val="21"/>
        </w:rPr>
      </w:pPr>
      <w:r>
        <w:rPr>
          <w:rFonts w:hint="eastAsia" w:ascii="宋体" w:hAnsi="宋体" w:cs="宋体"/>
          <w:kern w:val="0"/>
          <w:szCs w:val="21"/>
        </w:rPr>
        <w:t>（表格不够可续页）</w:t>
      </w:r>
    </w:p>
    <w:p w14:paraId="111E0FF4">
      <w:pPr>
        <w:spacing w:line="360" w:lineRule="auto"/>
        <w:jc w:val="right"/>
        <w:rPr>
          <w:rFonts w:hint="eastAsia" w:ascii="宋体" w:hAnsi="宋体" w:cs="宋体"/>
          <w:szCs w:val="21"/>
        </w:rPr>
      </w:pPr>
    </w:p>
    <w:p w14:paraId="773B103A">
      <w:pPr>
        <w:spacing w:line="360" w:lineRule="auto"/>
        <w:jc w:val="right"/>
        <w:rPr>
          <w:rFonts w:hint="eastAsia" w:ascii="宋体" w:hAnsi="宋体" w:cs="宋体"/>
          <w:szCs w:val="21"/>
        </w:rPr>
      </w:pPr>
    </w:p>
    <w:p w14:paraId="4EEF8CF6">
      <w:pPr>
        <w:spacing w:line="360" w:lineRule="auto"/>
        <w:jc w:val="right"/>
        <w:rPr>
          <w:rFonts w:hint="eastAsia" w:ascii="宋体" w:hAnsi="宋体" w:cs="宋体"/>
          <w:szCs w:val="21"/>
        </w:rPr>
      </w:pPr>
    </w:p>
    <w:p w14:paraId="19A88B8D">
      <w:pPr>
        <w:spacing w:line="360" w:lineRule="auto"/>
        <w:jc w:val="right"/>
        <w:rPr>
          <w:rFonts w:hint="eastAsia" w:ascii="宋体" w:hAnsi="宋体" w:cs="宋体"/>
          <w:szCs w:val="21"/>
        </w:rPr>
      </w:pPr>
    </w:p>
    <w:p w14:paraId="6DF4579B">
      <w:pPr>
        <w:spacing w:line="360" w:lineRule="auto"/>
        <w:jc w:val="right"/>
        <w:rPr>
          <w:rFonts w:hint="eastAsia" w:ascii="宋体" w:hAnsi="宋体" w:cs="宋体"/>
          <w:szCs w:val="21"/>
          <w:u w:val="single"/>
        </w:rPr>
      </w:pPr>
      <w:r>
        <w:rPr>
          <w:rFonts w:hint="eastAsia" w:ascii="宋体" w:hAnsi="宋体" w:cs="宋体"/>
          <w:szCs w:val="21"/>
        </w:rPr>
        <w:t>投标人：</w:t>
      </w:r>
      <w:r>
        <w:rPr>
          <w:rFonts w:hint="eastAsia" w:ascii="宋体" w:hAnsi="宋体" w:cs="宋体"/>
          <w:szCs w:val="21"/>
          <w:u w:val="single"/>
        </w:rPr>
        <w:t xml:space="preserve">                         </w:t>
      </w:r>
      <w:r>
        <w:rPr>
          <w:rFonts w:hint="eastAsia" w:ascii="宋体" w:hAnsi="宋体" w:cs="宋体"/>
          <w:szCs w:val="21"/>
        </w:rPr>
        <w:t>（电子签章）</w:t>
      </w:r>
    </w:p>
    <w:p w14:paraId="714233A5">
      <w:pPr>
        <w:spacing w:line="360" w:lineRule="auto"/>
        <w:jc w:val="right"/>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u w:val="single"/>
        </w:rPr>
        <w:t xml:space="preserve">            </w:t>
      </w:r>
      <w:r>
        <w:rPr>
          <w:rFonts w:hint="eastAsia" w:ascii="宋体" w:hAnsi="宋体" w:cs="宋体"/>
          <w:szCs w:val="21"/>
        </w:rPr>
        <w:t>（电子签章）</w:t>
      </w:r>
    </w:p>
    <w:p w14:paraId="2EBB9B42">
      <w:pPr>
        <w:spacing w:line="360" w:lineRule="auto"/>
        <w:jc w:val="right"/>
        <w:rPr>
          <w:rFonts w:hint="eastAsia" w:ascii="宋体" w:hAnsi="宋体" w:cs="宋体"/>
          <w:szCs w:val="21"/>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3969A93">
      <w:pPr>
        <w:widowControl/>
        <w:spacing w:line="360" w:lineRule="auto"/>
        <w:ind w:firstLine="420" w:firstLineChars="200"/>
        <w:rPr>
          <w:rFonts w:hint="eastAsia" w:ascii="宋体" w:hAnsi="宋体" w:cs="宋体"/>
          <w:szCs w:val="21"/>
        </w:rPr>
      </w:pPr>
    </w:p>
    <w:p w14:paraId="73050661">
      <w:pPr>
        <w:widowControl/>
        <w:spacing w:line="360" w:lineRule="auto"/>
        <w:ind w:firstLine="420" w:firstLineChars="200"/>
        <w:rPr>
          <w:rFonts w:hint="eastAsia" w:ascii="宋体" w:hAnsi="宋体" w:cs="宋体"/>
          <w:szCs w:val="21"/>
        </w:rPr>
      </w:pPr>
      <w:r>
        <w:rPr>
          <w:rFonts w:hint="eastAsia" w:ascii="宋体" w:hAnsi="宋体" w:cs="宋体"/>
          <w:szCs w:val="21"/>
        </w:rPr>
        <w:t>注：1、投标人必须根据所投产品的实际情况如实填写，评委会如发现有虚假描述的，将不予推荐中标候选人。</w:t>
      </w:r>
    </w:p>
    <w:p w14:paraId="2C1629C8">
      <w:pPr>
        <w:widowControl/>
        <w:spacing w:line="360" w:lineRule="auto"/>
        <w:ind w:firstLine="420" w:firstLineChars="200"/>
        <w:rPr>
          <w:rFonts w:hint="eastAsia" w:ascii="宋体" w:hAnsi="宋体" w:cs="宋体"/>
          <w:szCs w:val="21"/>
        </w:rPr>
      </w:pPr>
      <w:r>
        <w:rPr>
          <w:rFonts w:hint="eastAsia" w:ascii="宋体" w:hAnsi="宋体" w:cs="宋体"/>
          <w:szCs w:val="21"/>
        </w:rPr>
        <w:t>2、投标文件内容高于招标文件内容偏离情况为“正偏离”，投标文件内容低于招标文件内容偏离情况为“负偏离”，与招标文件内容一致为“无偏离”；“正偏离”和“负偏离”需对偏离情况进行说明。</w:t>
      </w:r>
    </w:p>
    <w:p w14:paraId="5CE2A230">
      <w:pPr>
        <w:widowControl/>
        <w:spacing w:line="360" w:lineRule="auto"/>
        <w:ind w:firstLine="420" w:firstLineChars="200"/>
        <w:rPr>
          <w:rFonts w:hint="eastAsia" w:ascii="宋体" w:hAnsi="宋体" w:cs="宋体"/>
          <w:szCs w:val="21"/>
        </w:rPr>
      </w:pPr>
      <w:r>
        <w:rPr>
          <w:rFonts w:hint="eastAsia" w:ascii="宋体" w:hAnsi="宋体" w:cs="宋体"/>
          <w:szCs w:val="21"/>
        </w:rPr>
        <w:t>3、如为“正偏离”需提供厂家相关证明材料，且材料齐全。</w:t>
      </w:r>
    </w:p>
    <w:p w14:paraId="5F88A940">
      <w:pPr>
        <w:spacing w:line="360" w:lineRule="auto"/>
        <w:jc w:val="center"/>
        <w:outlineLvl w:val="1"/>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247E13D4">
      <w:pPr>
        <w:keepNext/>
        <w:keepLines/>
        <w:spacing w:line="360" w:lineRule="auto"/>
        <w:jc w:val="center"/>
        <w:outlineLvl w:val="1"/>
        <w:rPr>
          <w:rFonts w:hint="eastAsia" w:ascii="宋体" w:hAnsi="宋体" w:cs="宋体"/>
          <w:b/>
          <w:bCs/>
          <w:szCs w:val="21"/>
        </w:rPr>
      </w:pPr>
      <w:r>
        <w:rPr>
          <w:rFonts w:hint="eastAsia" w:ascii="宋体" w:hAnsi="宋体" w:cs="宋体"/>
          <w:b/>
          <w:bCs/>
          <w:szCs w:val="21"/>
        </w:rPr>
        <w:t>六、资格审查资料</w:t>
      </w:r>
    </w:p>
    <w:p w14:paraId="20B9BCC6">
      <w:pPr>
        <w:jc w:val="center"/>
        <w:rPr>
          <w:rFonts w:hint="eastAsia" w:ascii="宋体" w:hAnsi="宋体" w:cs="宋体"/>
          <w:szCs w:val="21"/>
        </w:rPr>
      </w:pPr>
      <w:r>
        <w:rPr>
          <w:rFonts w:hint="eastAsia" w:ascii="宋体" w:hAnsi="宋体" w:cs="宋体"/>
          <w:szCs w:val="21"/>
        </w:rPr>
        <w:t>（格式自拟）</w:t>
      </w:r>
    </w:p>
    <w:p w14:paraId="3AEB8978">
      <w:pPr>
        <w:pStyle w:val="19"/>
        <w:ind w:firstLine="21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72A0427B">
      <w:pPr>
        <w:keepNext/>
        <w:keepLines/>
        <w:spacing w:line="360" w:lineRule="auto"/>
        <w:jc w:val="center"/>
        <w:outlineLvl w:val="1"/>
        <w:rPr>
          <w:rFonts w:hint="eastAsia" w:ascii="宋体" w:hAnsi="宋体" w:cs="宋体"/>
          <w:b/>
          <w:bCs/>
          <w:szCs w:val="21"/>
        </w:rPr>
      </w:pPr>
      <w:bookmarkStart w:id="283" w:name="_Hlk122705999"/>
      <w:r>
        <w:rPr>
          <w:rFonts w:hint="eastAsia" w:ascii="宋体" w:hAnsi="宋体" w:cs="宋体"/>
          <w:b/>
          <w:bCs/>
          <w:szCs w:val="21"/>
        </w:rPr>
        <w:t>七、技术部分</w:t>
      </w:r>
    </w:p>
    <w:p w14:paraId="6F67B9E8">
      <w:pPr>
        <w:jc w:val="center"/>
        <w:rPr>
          <w:rFonts w:hint="eastAsia" w:ascii="宋体" w:hAnsi="宋体" w:cs="宋体"/>
          <w:szCs w:val="21"/>
        </w:rPr>
      </w:pPr>
      <w:r>
        <w:rPr>
          <w:rFonts w:hint="eastAsia" w:ascii="宋体" w:hAnsi="宋体" w:cs="宋体"/>
          <w:szCs w:val="21"/>
        </w:rPr>
        <w:t>（根据评标办法中技术标要求进行编写）</w:t>
      </w:r>
    </w:p>
    <w:p w14:paraId="4CBBAEB6">
      <w:pPr>
        <w:rPr>
          <w:rFonts w:hint="eastAsia" w:ascii="宋体" w:hAnsi="宋体" w:cs="宋体"/>
          <w:szCs w:val="21"/>
        </w:rPr>
        <w:sectPr>
          <w:pgSz w:w="11906" w:h="16838"/>
          <w:pgMar w:top="1134" w:right="1134" w:bottom="1418" w:left="1418" w:header="851" w:footer="992" w:gutter="0"/>
          <w:cols w:space="425" w:num="1"/>
          <w:docGrid w:type="lines" w:linePitch="312" w:charSpace="0"/>
        </w:sectPr>
      </w:pPr>
    </w:p>
    <w:bookmarkEnd w:id="283"/>
    <w:p w14:paraId="686A6CF2">
      <w:pPr>
        <w:pStyle w:val="4"/>
        <w:jc w:val="center"/>
        <w:rPr>
          <w:rFonts w:hint="eastAsia" w:ascii="宋体" w:hAnsi="宋体" w:eastAsia="宋体" w:cs="宋体"/>
          <w:sz w:val="21"/>
          <w:szCs w:val="21"/>
        </w:rPr>
      </w:pPr>
      <w:bookmarkStart w:id="284" w:name="_Toc21462227"/>
      <w:bookmarkStart w:id="285" w:name="_Hlk122706088"/>
      <w:r>
        <w:rPr>
          <w:rFonts w:hint="eastAsia" w:ascii="宋体" w:hAnsi="宋体" w:eastAsia="宋体" w:cs="宋体"/>
          <w:sz w:val="21"/>
          <w:szCs w:val="21"/>
        </w:rPr>
        <w:t>八、其他资料</w:t>
      </w:r>
      <w:bookmarkEnd w:id="284"/>
    </w:p>
    <w:p w14:paraId="59303264">
      <w:pPr>
        <w:pStyle w:val="19"/>
        <w:ind w:firstLine="0" w:firstLineChars="0"/>
        <w:jc w:val="center"/>
        <w:rPr>
          <w:rFonts w:hint="eastAsia" w:ascii="宋体" w:hAnsi="宋体" w:cs="宋体"/>
          <w:szCs w:val="21"/>
        </w:rPr>
      </w:pPr>
      <w:r>
        <w:rPr>
          <w:rFonts w:hint="eastAsia" w:ascii="宋体" w:hAnsi="宋体" w:cs="宋体"/>
          <w:szCs w:val="21"/>
        </w:rPr>
        <w:t>招标文件要求或投标人认为需要提供的其他资料</w:t>
      </w:r>
    </w:p>
    <w:p w14:paraId="594CB829">
      <w:pPr>
        <w:pStyle w:val="19"/>
        <w:ind w:firstLine="0" w:firstLineChars="0"/>
        <w:rPr>
          <w:rFonts w:hint="eastAsia" w:ascii="宋体" w:hAnsi="宋体" w:cs="宋体"/>
          <w:szCs w:val="21"/>
        </w:rPr>
      </w:pPr>
    </w:p>
    <w:p w14:paraId="6437E6BB">
      <w:pPr>
        <w:pStyle w:val="19"/>
        <w:ind w:firstLine="0" w:firstLineChars="0"/>
        <w:rPr>
          <w:rFonts w:hint="eastAsia" w:ascii="宋体" w:hAnsi="宋体" w:cs="宋体"/>
          <w:szCs w:val="21"/>
        </w:rPr>
      </w:pPr>
    </w:p>
    <w:p w14:paraId="53AFA8C4">
      <w:pPr>
        <w:pStyle w:val="19"/>
        <w:ind w:firstLine="0" w:firstLineChars="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339647EA">
      <w:pPr>
        <w:outlineLvl w:val="2"/>
        <w:rPr>
          <w:rFonts w:hint="eastAsia" w:ascii="宋体" w:hAnsi="宋体" w:cs="宋体"/>
          <w:b/>
          <w:bCs/>
          <w:spacing w:val="12"/>
          <w:kern w:val="0"/>
          <w:szCs w:val="21"/>
        </w:rPr>
      </w:pPr>
      <w:r>
        <w:rPr>
          <w:rFonts w:hint="eastAsia" w:ascii="宋体" w:hAnsi="宋体" w:cs="宋体"/>
          <w:b/>
          <w:bCs/>
          <w:spacing w:val="12"/>
          <w:kern w:val="0"/>
          <w:szCs w:val="21"/>
        </w:rPr>
        <w:t>附件一</w:t>
      </w:r>
    </w:p>
    <w:p w14:paraId="709B072A">
      <w:pPr>
        <w:spacing w:line="480" w:lineRule="auto"/>
        <w:jc w:val="center"/>
        <w:rPr>
          <w:rFonts w:hint="eastAsia" w:ascii="宋体" w:hAnsi="宋体" w:cs="宋体"/>
          <w:b/>
          <w:bCs/>
          <w:color w:val="000000"/>
          <w:szCs w:val="21"/>
        </w:rPr>
      </w:pPr>
    </w:p>
    <w:p w14:paraId="3680BB50">
      <w:pPr>
        <w:spacing w:line="480" w:lineRule="auto"/>
        <w:jc w:val="center"/>
        <w:rPr>
          <w:rFonts w:hint="eastAsia" w:ascii="宋体" w:hAnsi="宋体" w:cs="宋体"/>
          <w:b/>
          <w:bCs/>
          <w:color w:val="000000"/>
          <w:szCs w:val="21"/>
        </w:rPr>
      </w:pPr>
      <w:r>
        <w:rPr>
          <w:rFonts w:hint="eastAsia" w:ascii="宋体" w:hAnsi="宋体" w:cs="宋体"/>
          <w:b/>
          <w:bCs/>
          <w:color w:val="000000"/>
          <w:szCs w:val="21"/>
        </w:rPr>
        <w:t>中小企业声明函</w:t>
      </w:r>
    </w:p>
    <w:p w14:paraId="2743EB7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本公司（联合体）郑重声明，根据《政府采购促进中小企业发展管理办法》（财库﹝2020﹞46 号）的规定，本公司（联合体）参加</w:t>
      </w:r>
      <w:r>
        <w:rPr>
          <w:rFonts w:hint="eastAsia" w:ascii="宋体" w:hAnsi="宋体" w:cs="宋体"/>
          <w:color w:val="000000"/>
          <w:szCs w:val="21"/>
          <w:u w:val="single"/>
        </w:rPr>
        <w:t xml:space="preserve">   （单位名称）</w:t>
      </w:r>
      <w:r>
        <w:rPr>
          <w:rFonts w:hint="eastAsia" w:ascii="宋体" w:hAnsi="宋体" w:cs="宋体"/>
          <w:color w:val="000000"/>
          <w:szCs w:val="21"/>
        </w:rPr>
        <w:t>的</w:t>
      </w:r>
      <w:r>
        <w:rPr>
          <w:rFonts w:hint="eastAsia" w:ascii="宋体" w:hAnsi="宋体" w:cs="宋体"/>
          <w:color w:val="000000"/>
          <w:szCs w:val="21"/>
          <w:u w:val="single"/>
        </w:rPr>
        <w:t xml:space="preserve">   （项目名称）</w:t>
      </w:r>
      <w:r>
        <w:rPr>
          <w:rFonts w:hint="eastAsia" w:ascii="宋体" w:hAnsi="宋体" w:cs="宋体"/>
          <w:color w:val="000000"/>
          <w:szCs w:val="21"/>
        </w:rPr>
        <w:t xml:space="preserve">采购活动，提供的货物全部由符合政策要求的中小企业制造。相关企业（含联合体中的中小企业、签订分包意向协议的中小企业）的具体情况如下： </w:t>
      </w:r>
    </w:p>
    <w:p w14:paraId="332E5AE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 </w:t>
      </w:r>
      <w:r>
        <w:rPr>
          <w:rFonts w:hint="eastAsia" w:ascii="宋体" w:hAnsi="宋体" w:cs="宋体"/>
          <w:color w:val="000000"/>
          <w:szCs w:val="21"/>
          <w:u w:val="single"/>
        </w:rPr>
        <w:t>（标的名称）</w:t>
      </w:r>
      <w:r>
        <w:rPr>
          <w:rFonts w:hint="eastAsia" w:ascii="宋体" w:hAnsi="宋体" w:cs="宋体"/>
          <w:color w:val="000000"/>
          <w:szCs w:val="21"/>
        </w:rPr>
        <w:t xml:space="preserve"> ，属于</w:t>
      </w:r>
      <w:r>
        <w:rPr>
          <w:rFonts w:hint="eastAsia" w:ascii="宋体" w:hAnsi="宋体" w:cs="宋体"/>
          <w:color w:val="000000"/>
          <w:szCs w:val="21"/>
          <w:u w:val="single"/>
        </w:rPr>
        <w:t>（招标文件中明确的所属行业）</w:t>
      </w:r>
      <w:r>
        <w:rPr>
          <w:rFonts w:hint="eastAsia" w:ascii="宋体" w:hAnsi="宋体" w:cs="宋体"/>
          <w:color w:val="000000"/>
          <w:szCs w:val="21"/>
        </w:rPr>
        <w:t xml:space="preserve"> 行业；制造商为</w:t>
      </w:r>
      <w:r>
        <w:rPr>
          <w:rFonts w:hint="eastAsia" w:ascii="宋体" w:hAnsi="宋体" w:cs="宋体"/>
          <w:color w:val="000000"/>
          <w:szCs w:val="21"/>
          <w:u w:val="single"/>
        </w:rPr>
        <w:t xml:space="preserve">（企业名称） </w:t>
      </w:r>
      <w:r>
        <w:rPr>
          <w:rFonts w:hint="eastAsia" w:ascii="宋体" w:hAnsi="宋体" w:cs="宋体"/>
          <w:color w:val="000000"/>
          <w:szCs w:val="21"/>
        </w:rPr>
        <w:t>，从业人员</w:t>
      </w:r>
      <w:r>
        <w:rPr>
          <w:rFonts w:hint="eastAsia" w:ascii="宋体" w:hAnsi="宋体" w:cs="宋体"/>
          <w:color w:val="000000"/>
          <w:szCs w:val="21"/>
          <w:u w:val="single"/>
        </w:rPr>
        <w:t xml:space="preserve">  </w:t>
      </w:r>
      <w:r>
        <w:rPr>
          <w:rFonts w:hint="eastAsia" w:ascii="宋体" w:hAnsi="宋体" w:cs="宋体"/>
          <w:color w:val="000000"/>
          <w:szCs w:val="21"/>
        </w:rPr>
        <w:t>人，营业收入为</w:t>
      </w:r>
      <w:r>
        <w:rPr>
          <w:rFonts w:hint="eastAsia" w:ascii="宋体" w:hAnsi="宋体" w:cs="宋体"/>
          <w:color w:val="000000"/>
          <w:szCs w:val="21"/>
          <w:u w:val="single"/>
        </w:rPr>
        <w:t xml:space="preserve">  </w:t>
      </w:r>
      <w:r>
        <w:rPr>
          <w:rFonts w:hint="eastAsia" w:ascii="宋体" w:hAnsi="宋体" w:cs="宋体"/>
          <w:color w:val="000000"/>
          <w:szCs w:val="21"/>
        </w:rPr>
        <w:t>万元，资产总额为</w:t>
      </w:r>
      <w:r>
        <w:rPr>
          <w:rFonts w:hint="eastAsia" w:ascii="宋体" w:hAnsi="宋体" w:cs="宋体"/>
          <w:color w:val="000000"/>
          <w:szCs w:val="21"/>
          <w:u w:val="single"/>
        </w:rPr>
        <w:t xml:space="preserve">  </w:t>
      </w:r>
      <w:r>
        <w:rPr>
          <w:rFonts w:hint="eastAsia" w:ascii="宋体" w:hAnsi="宋体" w:cs="宋体"/>
          <w:color w:val="000000"/>
          <w:szCs w:val="21"/>
        </w:rPr>
        <w:t>万元，属于</w:t>
      </w:r>
      <w:r>
        <w:rPr>
          <w:rFonts w:hint="eastAsia" w:ascii="宋体" w:hAnsi="宋体" w:cs="宋体"/>
          <w:color w:val="000000"/>
          <w:szCs w:val="21"/>
          <w:u w:val="single"/>
        </w:rPr>
        <w:t>（中型企业、小型企业、微型企业）</w:t>
      </w:r>
      <w:r>
        <w:rPr>
          <w:rFonts w:hint="eastAsia" w:ascii="宋体" w:hAnsi="宋体" w:cs="宋体"/>
          <w:color w:val="000000"/>
          <w:szCs w:val="21"/>
        </w:rPr>
        <w:t xml:space="preserve">； </w:t>
      </w:r>
    </w:p>
    <w:p w14:paraId="3C0D732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hint="eastAsia" w:ascii="宋体" w:hAnsi="宋体" w:cs="宋体"/>
          <w:color w:val="000000"/>
          <w:szCs w:val="21"/>
          <w:u w:val="single"/>
        </w:rPr>
        <w:t>（标的名称）</w:t>
      </w:r>
      <w:r>
        <w:rPr>
          <w:rFonts w:hint="eastAsia" w:ascii="宋体" w:hAnsi="宋体" w:cs="宋体"/>
          <w:color w:val="000000"/>
          <w:szCs w:val="21"/>
        </w:rPr>
        <w:t xml:space="preserve"> ，属于</w:t>
      </w:r>
      <w:r>
        <w:rPr>
          <w:rFonts w:hint="eastAsia" w:ascii="宋体" w:hAnsi="宋体" w:cs="宋体"/>
          <w:color w:val="000000"/>
          <w:szCs w:val="21"/>
          <w:u w:val="single"/>
        </w:rPr>
        <w:t>（招标文件中明确的所属行业）</w:t>
      </w:r>
      <w:r>
        <w:rPr>
          <w:rFonts w:hint="eastAsia" w:ascii="宋体" w:hAnsi="宋体" w:cs="宋体"/>
          <w:color w:val="000000"/>
          <w:szCs w:val="21"/>
        </w:rPr>
        <w:t xml:space="preserve"> 行业；制造商为</w:t>
      </w:r>
      <w:r>
        <w:rPr>
          <w:rFonts w:hint="eastAsia" w:ascii="宋体" w:hAnsi="宋体" w:cs="宋体"/>
          <w:color w:val="000000"/>
          <w:szCs w:val="21"/>
          <w:u w:val="single"/>
        </w:rPr>
        <w:t xml:space="preserve">（企业名称） </w:t>
      </w:r>
      <w:r>
        <w:rPr>
          <w:rFonts w:hint="eastAsia" w:ascii="宋体" w:hAnsi="宋体" w:cs="宋体"/>
          <w:color w:val="000000"/>
          <w:szCs w:val="21"/>
        </w:rPr>
        <w:t>，从业人员</w:t>
      </w:r>
      <w:r>
        <w:rPr>
          <w:rFonts w:hint="eastAsia" w:ascii="宋体" w:hAnsi="宋体" w:cs="宋体"/>
          <w:color w:val="000000"/>
          <w:szCs w:val="21"/>
          <w:u w:val="single"/>
        </w:rPr>
        <w:t xml:space="preserve">  </w:t>
      </w:r>
      <w:r>
        <w:rPr>
          <w:rFonts w:hint="eastAsia" w:ascii="宋体" w:hAnsi="宋体" w:cs="宋体"/>
          <w:color w:val="000000"/>
          <w:szCs w:val="21"/>
        </w:rPr>
        <w:t>人，营业收入为</w:t>
      </w:r>
      <w:r>
        <w:rPr>
          <w:rFonts w:hint="eastAsia" w:ascii="宋体" w:hAnsi="宋体" w:cs="宋体"/>
          <w:color w:val="000000"/>
          <w:szCs w:val="21"/>
          <w:u w:val="single"/>
        </w:rPr>
        <w:t xml:space="preserve">  </w:t>
      </w:r>
      <w:r>
        <w:rPr>
          <w:rFonts w:hint="eastAsia" w:ascii="宋体" w:hAnsi="宋体" w:cs="宋体"/>
          <w:color w:val="000000"/>
          <w:szCs w:val="21"/>
        </w:rPr>
        <w:t>万元，资产总额为</w:t>
      </w:r>
      <w:r>
        <w:rPr>
          <w:rFonts w:hint="eastAsia" w:ascii="宋体" w:hAnsi="宋体" w:cs="宋体"/>
          <w:color w:val="000000"/>
          <w:szCs w:val="21"/>
          <w:u w:val="single"/>
        </w:rPr>
        <w:t xml:space="preserve">  </w:t>
      </w:r>
      <w:r>
        <w:rPr>
          <w:rFonts w:hint="eastAsia" w:ascii="宋体" w:hAnsi="宋体" w:cs="宋体"/>
          <w:color w:val="000000"/>
          <w:szCs w:val="21"/>
        </w:rPr>
        <w:t>万元，属于</w:t>
      </w:r>
      <w:r>
        <w:rPr>
          <w:rFonts w:hint="eastAsia" w:ascii="宋体" w:hAnsi="宋体" w:cs="宋体"/>
          <w:color w:val="000000"/>
          <w:szCs w:val="21"/>
          <w:u w:val="single"/>
        </w:rPr>
        <w:t>（中型企业、小型企业、微型企业）</w:t>
      </w:r>
      <w:r>
        <w:rPr>
          <w:rFonts w:hint="eastAsia" w:ascii="宋体" w:hAnsi="宋体" w:cs="宋体"/>
          <w:color w:val="000000"/>
          <w:szCs w:val="21"/>
        </w:rPr>
        <w:t>；</w:t>
      </w:r>
    </w:p>
    <w:p w14:paraId="5E89214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w:t>
      </w:r>
    </w:p>
    <w:p w14:paraId="2F74896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以上企业，不属于大企业的分支机构，不存在控股股东为大企业的情形，也不存在与大企业的负责人为同一人的情形。</w:t>
      </w:r>
    </w:p>
    <w:p w14:paraId="764B7D02">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本企业对上述声明内容的真实性负责。如有虚假，将依 法承担相应责任。 </w:t>
      </w:r>
    </w:p>
    <w:p w14:paraId="26952DD5">
      <w:pPr>
        <w:spacing w:line="360" w:lineRule="auto"/>
        <w:rPr>
          <w:rFonts w:hint="eastAsia" w:ascii="宋体" w:hAnsi="宋体" w:cs="宋体"/>
          <w:color w:val="000000"/>
          <w:szCs w:val="21"/>
        </w:rPr>
      </w:pPr>
      <w:r>
        <w:rPr>
          <w:rFonts w:hint="eastAsia" w:ascii="宋体" w:hAnsi="宋体" w:cs="宋体"/>
          <w:color w:val="000000"/>
          <w:szCs w:val="21"/>
        </w:rPr>
        <w:t xml:space="preserve"> </w:t>
      </w:r>
    </w:p>
    <w:p w14:paraId="6AC6CDED">
      <w:pPr>
        <w:spacing w:line="360" w:lineRule="auto"/>
        <w:jc w:val="right"/>
        <w:rPr>
          <w:rFonts w:hint="eastAsia" w:ascii="宋体" w:hAnsi="宋体" w:cs="宋体"/>
          <w:color w:val="000000"/>
          <w:szCs w:val="21"/>
        </w:rPr>
      </w:pPr>
      <w:r>
        <w:rPr>
          <w:rFonts w:hint="eastAsia" w:ascii="宋体" w:hAnsi="宋体" w:cs="宋体"/>
          <w:color w:val="000000"/>
          <w:szCs w:val="21"/>
        </w:rPr>
        <w:t xml:space="preserve">企业名称（电子签章）： </w:t>
      </w:r>
    </w:p>
    <w:p w14:paraId="174615D5">
      <w:pPr>
        <w:spacing w:line="360" w:lineRule="auto"/>
        <w:jc w:val="right"/>
        <w:rPr>
          <w:rFonts w:hint="eastAsia" w:ascii="宋体" w:hAnsi="宋体" w:cs="宋体"/>
          <w:color w:val="000000"/>
          <w:szCs w:val="21"/>
        </w:rPr>
      </w:pPr>
      <w:r>
        <w:rPr>
          <w:rFonts w:hint="eastAsia" w:ascii="宋体" w:hAnsi="宋体" w:cs="宋体"/>
          <w:color w:val="000000"/>
          <w:szCs w:val="21"/>
        </w:rPr>
        <w:t xml:space="preserve">日 期： </w:t>
      </w:r>
    </w:p>
    <w:p w14:paraId="23C60EAA">
      <w:pPr>
        <w:spacing w:line="360" w:lineRule="auto"/>
        <w:rPr>
          <w:rFonts w:hint="eastAsia" w:ascii="宋体" w:hAnsi="宋体" w:cs="宋体"/>
          <w:color w:val="000000"/>
          <w:szCs w:val="21"/>
        </w:rPr>
      </w:pPr>
    </w:p>
    <w:p w14:paraId="72CAF12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注：1、从业人员、营业收入、资产总额填报上一年度数据，无上一年度数据的新成立企业可不填报。</w:t>
      </w:r>
    </w:p>
    <w:p w14:paraId="660A31B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2、非中小企业可不提供此项内容。</w:t>
      </w:r>
    </w:p>
    <w:p w14:paraId="715F8AE9">
      <w:pPr>
        <w:rPr>
          <w:rFonts w:hint="eastAsia" w:ascii="宋体" w:hAnsi="宋体" w:cs="宋体"/>
          <w:color w:val="000000"/>
          <w:szCs w:val="21"/>
        </w:rPr>
      </w:pPr>
    </w:p>
    <w:p w14:paraId="577E7D43">
      <w:pPr>
        <w:spacing w:before="190" w:line="352" w:lineRule="auto"/>
        <w:ind w:left="120" w:firstLine="480"/>
        <w:jc w:val="left"/>
        <w:rPr>
          <w:rFonts w:hint="eastAsia" w:ascii="宋体" w:hAnsi="宋体" w:cs="宋体"/>
          <w:kern w:val="0"/>
          <w:szCs w:val="21"/>
        </w:rPr>
      </w:pPr>
    </w:p>
    <w:p w14:paraId="00339D7D">
      <w:pPr>
        <w:pStyle w:val="19"/>
        <w:ind w:firstLine="0" w:firstLineChars="0"/>
        <w:rPr>
          <w:rFonts w:hint="eastAsia" w:ascii="宋体" w:hAnsi="宋体" w:cs="宋体"/>
          <w:szCs w:val="21"/>
        </w:rPr>
      </w:pPr>
    </w:p>
    <w:p w14:paraId="4DF604AB">
      <w:pPr>
        <w:pStyle w:val="19"/>
        <w:ind w:firstLine="0" w:firstLineChars="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42C4BFC9">
      <w:pPr>
        <w:jc w:val="left"/>
        <w:outlineLvl w:val="2"/>
        <w:rPr>
          <w:rFonts w:hint="eastAsia" w:ascii="宋体" w:hAnsi="宋体" w:cs="宋体"/>
          <w:b/>
          <w:kern w:val="0"/>
          <w:szCs w:val="21"/>
        </w:rPr>
      </w:pPr>
      <w:r>
        <w:rPr>
          <w:rFonts w:hint="eastAsia" w:ascii="宋体" w:hAnsi="宋体" w:cs="宋体"/>
          <w:b/>
          <w:kern w:val="0"/>
          <w:szCs w:val="21"/>
        </w:rPr>
        <w:t>附件二</w:t>
      </w:r>
    </w:p>
    <w:p w14:paraId="267A719D">
      <w:pPr>
        <w:spacing w:line="400" w:lineRule="exact"/>
        <w:jc w:val="center"/>
        <w:rPr>
          <w:rFonts w:hint="eastAsia" w:ascii="宋体" w:hAnsi="宋体" w:cs="宋体"/>
          <w:kern w:val="0"/>
          <w:szCs w:val="21"/>
        </w:rPr>
      </w:pPr>
      <w:r>
        <w:rPr>
          <w:rFonts w:hint="eastAsia" w:ascii="宋体" w:hAnsi="宋体" w:cs="宋体"/>
          <w:b/>
          <w:bCs/>
          <w:kern w:val="0"/>
          <w:szCs w:val="21"/>
        </w:rPr>
        <w:t>残疾人福利性单位声明函</w:t>
      </w:r>
    </w:p>
    <w:p w14:paraId="392690A6">
      <w:pPr>
        <w:spacing w:line="360" w:lineRule="auto"/>
        <w:ind w:firstLine="420" w:firstLineChars="200"/>
        <w:rPr>
          <w:rFonts w:hint="eastAsia" w:ascii="宋体" w:hAnsi="宋体" w:cs="宋体"/>
          <w:kern w:val="0"/>
          <w:szCs w:val="21"/>
        </w:rPr>
      </w:pPr>
    </w:p>
    <w:p w14:paraId="4B58C07A">
      <w:pPr>
        <w:spacing w:line="360" w:lineRule="auto"/>
        <w:ind w:firstLine="420" w:firstLineChars="200"/>
        <w:rPr>
          <w:rFonts w:hint="eastAsia" w:ascii="宋体" w:hAnsi="宋体" w:cs="宋体"/>
          <w:kern w:val="0"/>
          <w:szCs w:val="21"/>
        </w:rPr>
      </w:pPr>
      <w:r>
        <w:rPr>
          <w:rFonts w:hint="eastAsia" w:ascii="宋体" w:hAnsi="宋体" w:cs="宋体"/>
          <w:kern w:val="0"/>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kern w:val="0"/>
          <w:szCs w:val="21"/>
          <w:u w:val="single"/>
        </w:rPr>
        <w:t xml:space="preserve">     </w:t>
      </w:r>
      <w:r>
        <w:rPr>
          <w:rFonts w:hint="eastAsia" w:ascii="宋体" w:hAnsi="宋体" w:cs="宋体"/>
          <w:kern w:val="0"/>
          <w:szCs w:val="21"/>
        </w:rPr>
        <w:t>单位的______项目采购活动提供本单位制造的货物（由本单位承担工程/提供服务），或者提供其他残疾人福利性单位制造的货物（不包括使用非残疾人福利性单位注册商标的货物）。</w:t>
      </w:r>
    </w:p>
    <w:p w14:paraId="433B15B7">
      <w:pPr>
        <w:spacing w:line="360" w:lineRule="auto"/>
        <w:ind w:firstLine="420" w:firstLineChars="200"/>
        <w:rPr>
          <w:rFonts w:hint="eastAsia" w:ascii="宋体" w:hAnsi="宋体" w:cs="宋体"/>
          <w:kern w:val="0"/>
          <w:szCs w:val="21"/>
        </w:rPr>
      </w:pPr>
      <w:r>
        <w:rPr>
          <w:rFonts w:hint="eastAsia" w:ascii="宋体" w:hAnsi="宋体" w:cs="宋体"/>
          <w:kern w:val="0"/>
          <w:szCs w:val="21"/>
        </w:rPr>
        <w:t>本单位对上述声明的真实性负责。如有虚假，将依法承担相应责任。</w:t>
      </w:r>
    </w:p>
    <w:p w14:paraId="34764C6A">
      <w:pPr>
        <w:spacing w:line="360" w:lineRule="auto"/>
        <w:ind w:firstLine="315" w:firstLineChars="150"/>
        <w:rPr>
          <w:rFonts w:hint="eastAsia" w:ascii="宋体" w:hAnsi="宋体" w:cs="宋体"/>
          <w:szCs w:val="21"/>
        </w:rPr>
      </w:pPr>
    </w:p>
    <w:p w14:paraId="0721F399">
      <w:pPr>
        <w:spacing w:line="360" w:lineRule="auto"/>
        <w:ind w:firstLine="315" w:firstLineChars="150"/>
        <w:rPr>
          <w:rFonts w:hint="eastAsia" w:ascii="宋体" w:hAnsi="宋体" w:cs="宋体"/>
          <w:szCs w:val="21"/>
        </w:rPr>
      </w:pPr>
    </w:p>
    <w:p w14:paraId="1345C107">
      <w:pPr>
        <w:spacing w:line="352" w:lineRule="auto"/>
        <w:ind w:left="4797" w:right="1449"/>
        <w:jc w:val="left"/>
        <w:rPr>
          <w:rFonts w:hint="eastAsia" w:ascii="宋体" w:hAnsi="宋体" w:cs="宋体"/>
          <w:kern w:val="0"/>
          <w:szCs w:val="21"/>
        </w:rPr>
      </w:pPr>
      <w:r>
        <w:rPr>
          <w:rFonts w:hint="eastAsia" w:ascii="宋体" w:hAnsi="宋体" w:cs="宋体"/>
          <w:kern w:val="0"/>
          <w:szCs w:val="21"/>
        </w:rPr>
        <w:t xml:space="preserve">企业名称（电子签章）： </w:t>
      </w:r>
    </w:p>
    <w:p w14:paraId="2178B505">
      <w:pPr>
        <w:spacing w:line="352" w:lineRule="auto"/>
        <w:ind w:left="4797" w:right="1449"/>
        <w:jc w:val="left"/>
        <w:rPr>
          <w:rFonts w:hint="eastAsia" w:ascii="宋体" w:hAnsi="宋体" w:cs="宋体"/>
          <w:kern w:val="0"/>
          <w:szCs w:val="21"/>
        </w:rPr>
      </w:pPr>
      <w:r>
        <w:rPr>
          <w:rFonts w:hint="eastAsia" w:ascii="宋体" w:hAnsi="宋体" w:cs="宋体"/>
          <w:kern w:val="0"/>
          <w:szCs w:val="21"/>
        </w:rPr>
        <w:t>日 期：</w:t>
      </w:r>
    </w:p>
    <w:p w14:paraId="6E6E28F3">
      <w:pPr>
        <w:spacing w:line="360" w:lineRule="auto"/>
        <w:ind w:firstLine="840" w:firstLineChars="400"/>
        <w:rPr>
          <w:rFonts w:hint="eastAsia" w:ascii="宋体" w:hAnsi="宋体" w:cs="宋体"/>
          <w:kern w:val="0"/>
          <w:szCs w:val="21"/>
        </w:rPr>
      </w:pPr>
    </w:p>
    <w:p w14:paraId="31B7DE55">
      <w:pPr>
        <w:spacing w:line="360" w:lineRule="auto"/>
        <w:ind w:firstLine="840" w:firstLineChars="400"/>
        <w:rPr>
          <w:rFonts w:hint="eastAsia" w:ascii="宋体" w:hAnsi="宋体" w:cs="宋体"/>
          <w:kern w:val="0"/>
          <w:szCs w:val="21"/>
        </w:rPr>
      </w:pPr>
    </w:p>
    <w:p w14:paraId="6DBB9EEE">
      <w:pPr>
        <w:spacing w:line="360" w:lineRule="auto"/>
        <w:ind w:firstLine="420" w:firstLineChars="200"/>
        <w:rPr>
          <w:rFonts w:hint="eastAsia" w:ascii="宋体" w:hAnsi="宋体" w:cs="宋体"/>
          <w:kern w:val="0"/>
          <w:szCs w:val="21"/>
        </w:rPr>
      </w:pPr>
      <w:r>
        <w:rPr>
          <w:rFonts w:hint="eastAsia" w:ascii="宋体" w:hAnsi="宋体" w:cs="宋体"/>
          <w:kern w:val="0"/>
          <w:szCs w:val="21"/>
        </w:rPr>
        <w:t>说明：不属于残疾人福利性单位的投标文件中可不提供此声明函。</w:t>
      </w:r>
    </w:p>
    <w:p w14:paraId="2026F96B">
      <w:pPr>
        <w:spacing w:line="360" w:lineRule="auto"/>
        <w:ind w:firstLine="420" w:firstLineChars="200"/>
        <w:rPr>
          <w:rFonts w:hint="eastAsia" w:ascii="宋体" w:hAnsi="宋体" w:cs="宋体"/>
          <w:kern w:val="0"/>
          <w:szCs w:val="21"/>
        </w:rPr>
      </w:pPr>
      <w:r>
        <w:rPr>
          <w:rFonts w:hint="eastAsia" w:ascii="宋体" w:hAnsi="宋体" w:cs="宋体"/>
          <w:kern w:val="0"/>
          <w:szCs w:val="21"/>
        </w:rPr>
        <w:t>残疾人福利性单位</w:t>
      </w:r>
      <w:r>
        <w:rPr>
          <w:rFonts w:hint="eastAsia" w:ascii="宋体" w:hAnsi="宋体" w:cs="宋体"/>
          <w:szCs w:val="21"/>
        </w:rPr>
        <w:t>视同小型、微型企业，享受预留份额、评审中价格扣除等政府采购促进中小企业发展的政府采购政策。</w:t>
      </w:r>
    </w:p>
    <w:p w14:paraId="2F40B4B9">
      <w:pPr>
        <w:rPr>
          <w:rFonts w:hint="eastAsia" w:ascii="宋体" w:hAnsi="宋体" w:cs="宋体"/>
          <w:szCs w:val="21"/>
        </w:rPr>
      </w:pPr>
    </w:p>
    <w:p w14:paraId="10359A7F">
      <w:pPr>
        <w:pStyle w:val="19"/>
        <w:ind w:firstLine="0" w:firstLineChars="0"/>
        <w:rPr>
          <w:rFonts w:hint="eastAsia" w:ascii="宋体" w:hAnsi="宋体" w:cs="宋体"/>
          <w:szCs w:val="21"/>
        </w:rPr>
        <w:sectPr>
          <w:pgSz w:w="11906" w:h="16838"/>
          <w:pgMar w:top="1134" w:right="1134" w:bottom="1418" w:left="1418" w:header="851" w:footer="992" w:gutter="0"/>
          <w:cols w:space="425" w:num="1"/>
          <w:docGrid w:type="lines" w:linePitch="312" w:charSpace="0"/>
        </w:sectPr>
      </w:pPr>
    </w:p>
    <w:p w14:paraId="112621F2">
      <w:pPr>
        <w:outlineLvl w:val="2"/>
        <w:rPr>
          <w:rFonts w:hint="eastAsia" w:ascii="宋体" w:hAnsi="宋体" w:cs="宋体"/>
          <w:b/>
          <w:kern w:val="0"/>
          <w:szCs w:val="21"/>
        </w:rPr>
      </w:pPr>
      <w:r>
        <w:rPr>
          <w:rFonts w:hint="eastAsia" w:ascii="宋体" w:hAnsi="宋体" w:cs="宋体"/>
          <w:b/>
          <w:kern w:val="0"/>
          <w:szCs w:val="21"/>
          <w:lang w:val="zh-TW" w:eastAsia="zh-TW" w:bidi="zh-TW"/>
        </w:rPr>
        <w:t>附件</w:t>
      </w:r>
      <w:r>
        <w:rPr>
          <w:rFonts w:hint="eastAsia" w:ascii="宋体" w:hAnsi="宋体" w:cs="宋体"/>
          <w:b/>
          <w:kern w:val="0"/>
          <w:szCs w:val="21"/>
          <w:lang w:val="zh-TW" w:bidi="zh-TW"/>
        </w:rPr>
        <w:t>三</w:t>
      </w:r>
    </w:p>
    <w:p w14:paraId="41E66FD9">
      <w:pPr>
        <w:spacing w:line="400" w:lineRule="exact"/>
        <w:jc w:val="center"/>
        <w:rPr>
          <w:rFonts w:hint="eastAsia" w:ascii="宋体" w:hAnsi="宋体" w:cs="宋体"/>
          <w:kern w:val="0"/>
          <w:szCs w:val="21"/>
        </w:rPr>
      </w:pPr>
      <w:r>
        <w:rPr>
          <w:rFonts w:hint="eastAsia" w:ascii="宋体" w:hAnsi="宋体" w:cs="宋体"/>
          <w:kern w:val="0"/>
          <w:szCs w:val="21"/>
        </w:rPr>
        <w:t>关于监狱企业（如有）</w:t>
      </w:r>
    </w:p>
    <w:p w14:paraId="6A8412A1">
      <w:pPr>
        <w:spacing w:line="360" w:lineRule="auto"/>
        <w:ind w:firstLine="420" w:firstLineChars="200"/>
        <w:rPr>
          <w:rFonts w:hint="eastAsia" w:ascii="宋体" w:hAnsi="宋体" w:cs="宋体"/>
          <w:kern w:val="0"/>
          <w:szCs w:val="21"/>
        </w:rPr>
      </w:pPr>
    </w:p>
    <w:p w14:paraId="1489C4C8">
      <w:pPr>
        <w:spacing w:line="360" w:lineRule="auto"/>
        <w:ind w:firstLine="420" w:firstLineChars="200"/>
        <w:rPr>
          <w:rFonts w:hint="eastAsia" w:ascii="宋体" w:hAnsi="宋体" w:cs="宋体"/>
          <w:kern w:val="0"/>
          <w:szCs w:val="21"/>
        </w:rPr>
      </w:pPr>
      <w:r>
        <w:rPr>
          <w:rFonts w:hint="eastAsia" w:ascii="宋体" w:hAnsi="宋体" w:cs="宋体"/>
          <w:kern w:val="0"/>
          <w:szCs w:val="21"/>
        </w:rPr>
        <w:t>1、政府采购政策</w:t>
      </w:r>
    </w:p>
    <w:p w14:paraId="31853C23">
      <w:pPr>
        <w:spacing w:line="360" w:lineRule="auto"/>
        <w:ind w:firstLine="420" w:firstLineChars="200"/>
        <w:rPr>
          <w:rFonts w:hint="eastAsia" w:ascii="宋体" w:hAnsi="宋体" w:cs="宋体"/>
          <w:kern w:val="0"/>
          <w:szCs w:val="21"/>
        </w:rPr>
      </w:pPr>
      <w:r>
        <w:rPr>
          <w:rFonts w:hint="eastAsia" w:ascii="宋体" w:hAnsi="宋体" w:cs="宋体"/>
          <w:kern w:val="0"/>
          <w:szCs w:val="21"/>
        </w:rPr>
        <w:t>财政部、司法部关于政府采购支持监狱企业发展有关问题的通知（财库【2014】68号）</w:t>
      </w:r>
    </w:p>
    <w:p w14:paraId="76A759B0">
      <w:pPr>
        <w:spacing w:line="360" w:lineRule="auto"/>
        <w:ind w:firstLine="420" w:firstLineChars="200"/>
        <w:rPr>
          <w:rFonts w:hint="eastAsia" w:ascii="宋体" w:hAnsi="宋体" w:cs="宋体"/>
          <w:kern w:val="0"/>
          <w:szCs w:val="21"/>
        </w:rPr>
      </w:pPr>
      <w:r>
        <w:rPr>
          <w:rFonts w:hint="eastAsia" w:ascii="宋体" w:hAnsi="宋体" w:cs="宋体"/>
          <w:kern w:val="0"/>
          <w:szCs w:val="21"/>
        </w:rPr>
        <w:t>2、附证明材料</w:t>
      </w:r>
    </w:p>
    <w:p w14:paraId="15C1EA97">
      <w:pPr>
        <w:spacing w:line="360" w:lineRule="auto"/>
        <w:ind w:firstLine="420" w:firstLineChars="200"/>
        <w:rPr>
          <w:rFonts w:hint="eastAsia" w:ascii="宋体" w:hAnsi="宋体" w:cs="宋体"/>
          <w:kern w:val="0"/>
          <w:szCs w:val="21"/>
        </w:rPr>
      </w:pPr>
      <w:r>
        <w:rPr>
          <w:rFonts w:hint="eastAsia" w:ascii="宋体" w:hAnsi="宋体" w:cs="宋体"/>
          <w:kern w:val="0"/>
          <w:szCs w:val="21"/>
        </w:rPr>
        <w:t>提供由省级以上监狱管理局、戒毒管理局（含新疆生产建设兵团）出具的属于监狱企业的证明文件。</w:t>
      </w:r>
    </w:p>
    <w:p w14:paraId="6D0F3481">
      <w:pPr>
        <w:spacing w:line="360" w:lineRule="auto"/>
        <w:ind w:firstLine="315" w:firstLineChars="150"/>
        <w:rPr>
          <w:rFonts w:hint="eastAsia" w:ascii="宋体" w:hAnsi="宋体" w:cs="宋体"/>
          <w:szCs w:val="21"/>
        </w:rPr>
      </w:pPr>
    </w:p>
    <w:p w14:paraId="489AF024">
      <w:pPr>
        <w:pStyle w:val="42"/>
        <w:spacing w:after="0"/>
        <w:jc w:val="both"/>
        <w:outlineLvl w:val="2"/>
        <w:rPr>
          <w:rFonts w:hint="eastAsia"/>
          <w:b/>
          <w:kern w:val="0"/>
          <w:sz w:val="21"/>
          <w:szCs w:val="21"/>
          <w:lang w:val="en-US"/>
        </w:rPr>
        <w:sectPr>
          <w:pgSz w:w="11906" w:h="16838"/>
          <w:pgMar w:top="1134" w:right="1134" w:bottom="1418" w:left="1418" w:header="851" w:footer="992" w:gutter="0"/>
          <w:cols w:space="425" w:num="1"/>
          <w:docGrid w:type="lines" w:linePitch="312" w:charSpace="0"/>
        </w:sectPr>
      </w:pPr>
    </w:p>
    <w:p w14:paraId="172175ED">
      <w:pPr>
        <w:outlineLvl w:val="2"/>
        <w:rPr>
          <w:rFonts w:hint="eastAsia" w:ascii="宋体" w:hAnsi="宋体" w:cs="宋体"/>
          <w:b/>
          <w:kern w:val="0"/>
          <w:szCs w:val="21"/>
        </w:rPr>
      </w:pPr>
      <w:r>
        <w:rPr>
          <w:rFonts w:hint="eastAsia" w:ascii="宋体" w:hAnsi="宋体" w:cs="宋体"/>
          <w:b/>
          <w:kern w:val="0"/>
          <w:szCs w:val="21"/>
          <w:lang w:val="zh-TW" w:eastAsia="zh-TW" w:bidi="zh-TW"/>
        </w:rPr>
        <w:t>附件</w:t>
      </w:r>
      <w:r>
        <w:rPr>
          <w:rFonts w:hint="eastAsia" w:ascii="宋体" w:hAnsi="宋体" w:cs="宋体"/>
          <w:b/>
          <w:kern w:val="0"/>
          <w:szCs w:val="21"/>
          <w:lang w:val="zh-TW" w:bidi="zh-TW"/>
        </w:rPr>
        <w:t>四</w:t>
      </w:r>
    </w:p>
    <w:p w14:paraId="7C5148D6">
      <w:pPr>
        <w:jc w:val="center"/>
        <w:rPr>
          <w:rFonts w:hint="eastAsia" w:ascii="宋体" w:hAnsi="宋体" w:cs="宋体"/>
          <w:b/>
          <w:bCs/>
          <w:color w:val="000000"/>
          <w:szCs w:val="21"/>
        </w:rPr>
      </w:pPr>
      <w:r>
        <w:rPr>
          <w:rFonts w:hint="eastAsia" w:ascii="宋体" w:hAnsi="宋体" w:cs="宋体"/>
          <w:b/>
          <w:bCs/>
          <w:color w:val="000000"/>
          <w:szCs w:val="21"/>
        </w:rPr>
        <w:t>关于印发中小企业划型标准规定的通知</w:t>
      </w:r>
    </w:p>
    <w:p w14:paraId="6202B528">
      <w:pPr>
        <w:jc w:val="center"/>
        <w:rPr>
          <w:rFonts w:hint="eastAsia" w:ascii="宋体" w:hAnsi="宋体" w:cs="宋体"/>
          <w:b/>
          <w:bCs/>
          <w:color w:val="000000"/>
          <w:szCs w:val="21"/>
        </w:rPr>
      </w:pPr>
      <w:r>
        <w:rPr>
          <w:rFonts w:hint="eastAsia" w:ascii="宋体" w:hAnsi="宋体" w:cs="宋体"/>
          <w:b/>
          <w:bCs/>
          <w:color w:val="000000"/>
          <w:szCs w:val="21"/>
        </w:rPr>
        <w:t>工信部联企业[2011]300号</w:t>
      </w:r>
    </w:p>
    <w:p w14:paraId="5205E248">
      <w:pPr>
        <w:rPr>
          <w:rFonts w:hint="eastAsia" w:ascii="宋体" w:hAnsi="宋体" w:cs="宋体"/>
          <w:color w:val="000000"/>
          <w:szCs w:val="21"/>
        </w:rPr>
      </w:pPr>
      <w:r>
        <w:rPr>
          <w:rFonts w:hint="eastAsia" w:ascii="宋体" w:hAnsi="宋体" w:cs="宋体"/>
          <w:color w:val="000000"/>
          <w:szCs w:val="21"/>
        </w:rPr>
        <w:t>各省、自治区、直辖市人民政府，国务院各部委、各直属机构及有关单位：</w:t>
      </w:r>
    </w:p>
    <w:p w14:paraId="215CF2AE">
      <w:pPr>
        <w:rPr>
          <w:rFonts w:hint="eastAsia" w:ascii="宋体" w:hAnsi="宋体" w:cs="宋体"/>
          <w:color w:val="000000"/>
          <w:szCs w:val="21"/>
        </w:rPr>
      </w:pPr>
      <w:r>
        <w:rPr>
          <w:rFonts w:hint="eastAsia" w:ascii="宋体" w:hAnsi="宋体" w:cs="宋体"/>
          <w:color w:val="000000"/>
          <w:szCs w:val="21"/>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14:paraId="28F596C7">
      <w:pPr>
        <w:rPr>
          <w:rFonts w:hint="eastAsia" w:ascii="宋体" w:hAnsi="宋体" w:cs="宋体"/>
          <w:color w:val="000000"/>
          <w:szCs w:val="21"/>
        </w:rPr>
      </w:pPr>
      <w:r>
        <w:rPr>
          <w:rFonts w:hint="eastAsia" w:ascii="宋体" w:hAnsi="宋体" w:cs="宋体"/>
          <w:color w:val="000000"/>
          <w:szCs w:val="21"/>
        </w:rPr>
        <w:t>　　　　　　　　　　　　　　　　　　　　　　工业和信息化部　国家统计局</w:t>
      </w:r>
    </w:p>
    <w:p w14:paraId="515463CD">
      <w:pPr>
        <w:rPr>
          <w:rFonts w:hint="eastAsia" w:ascii="宋体" w:hAnsi="宋体" w:cs="宋体"/>
          <w:color w:val="000000"/>
          <w:szCs w:val="21"/>
        </w:rPr>
      </w:pPr>
      <w:r>
        <w:rPr>
          <w:rFonts w:hint="eastAsia" w:ascii="宋体" w:hAnsi="宋体" w:cs="宋体"/>
          <w:color w:val="000000"/>
          <w:szCs w:val="21"/>
        </w:rPr>
        <w:t>　　　　　　　　　　　　　　　　　　　　　　国家发展和改革委员会　财政部</w:t>
      </w:r>
    </w:p>
    <w:p w14:paraId="28C99AB0">
      <w:pPr>
        <w:rPr>
          <w:rFonts w:hint="eastAsia" w:ascii="宋体" w:hAnsi="宋体" w:cs="宋体"/>
          <w:color w:val="000000"/>
          <w:szCs w:val="21"/>
        </w:rPr>
      </w:pPr>
      <w:r>
        <w:rPr>
          <w:rFonts w:hint="eastAsia" w:ascii="宋体" w:hAnsi="宋体" w:cs="宋体"/>
          <w:color w:val="000000"/>
          <w:szCs w:val="21"/>
        </w:rPr>
        <w:t>　　　　　　　　　　　　　　　　　　　　　　　　二〇一一年六月十八日</w:t>
      </w:r>
    </w:p>
    <w:p w14:paraId="2CF294CF">
      <w:pPr>
        <w:rPr>
          <w:rFonts w:hint="eastAsia" w:ascii="宋体" w:hAnsi="宋体" w:cs="宋体"/>
          <w:color w:val="000000"/>
          <w:szCs w:val="21"/>
        </w:rPr>
      </w:pPr>
    </w:p>
    <w:p w14:paraId="524D8256">
      <w:pPr>
        <w:rPr>
          <w:rFonts w:hint="eastAsia" w:ascii="宋体" w:hAnsi="宋体" w:cs="宋体"/>
          <w:color w:val="000000"/>
          <w:szCs w:val="21"/>
        </w:rPr>
      </w:pPr>
      <w:r>
        <w:rPr>
          <w:rFonts w:hint="eastAsia" w:ascii="宋体" w:hAnsi="宋体" w:cs="宋体"/>
          <w:color w:val="000000"/>
          <w:szCs w:val="21"/>
        </w:rPr>
        <w:t>中小企业划型标准规定</w:t>
      </w:r>
    </w:p>
    <w:p w14:paraId="2C152827">
      <w:pPr>
        <w:rPr>
          <w:rFonts w:hint="eastAsia" w:ascii="宋体" w:hAnsi="宋体" w:cs="宋体"/>
          <w:color w:val="000000"/>
          <w:szCs w:val="21"/>
        </w:rPr>
      </w:pPr>
      <w:r>
        <w:rPr>
          <w:rFonts w:hint="eastAsia" w:ascii="宋体" w:hAnsi="宋体" w:cs="宋体"/>
          <w:color w:val="000000"/>
          <w:szCs w:val="21"/>
        </w:rPr>
        <w:t>　一、根据《中华人民共和国中小企业促进法》和《国务院关于进一步促进中小企业发展的若干意见》(国发〔2009〕36号)，制定本规定。</w:t>
      </w:r>
    </w:p>
    <w:p w14:paraId="750FD0FA">
      <w:pPr>
        <w:rPr>
          <w:rFonts w:hint="eastAsia" w:ascii="宋体" w:hAnsi="宋体" w:cs="宋体"/>
          <w:color w:val="000000"/>
          <w:szCs w:val="21"/>
        </w:rPr>
      </w:pPr>
      <w:r>
        <w:rPr>
          <w:rFonts w:hint="eastAsia" w:ascii="宋体" w:hAnsi="宋体" w:cs="宋体"/>
          <w:color w:val="000000"/>
          <w:szCs w:val="21"/>
        </w:rPr>
        <w:t>　二、中小企业划分为中型、小型、微型三种类型，具体标准根据企业从业人员、营业收入、资产总额等指标，结合行业特点制定。</w:t>
      </w:r>
    </w:p>
    <w:p w14:paraId="04D50111">
      <w:pPr>
        <w:rPr>
          <w:rFonts w:hint="eastAsia" w:ascii="宋体" w:hAnsi="宋体" w:cs="宋体"/>
          <w:color w:val="000000"/>
          <w:szCs w:val="21"/>
        </w:rPr>
      </w:pPr>
      <w:r>
        <w:rPr>
          <w:rFonts w:hint="eastAsia" w:ascii="宋体" w:hAnsi="宋体" w:cs="宋体"/>
          <w:color w:val="000000"/>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D8ADD8F">
      <w:pPr>
        <w:rPr>
          <w:rFonts w:hint="eastAsia" w:ascii="宋体" w:hAnsi="宋体" w:cs="宋体"/>
          <w:color w:val="000000"/>
          <w:szCs w:val="21"/>
        </w:rPr>
      </w:pPr>
      <w:r>
        <w:rPr>
          <w:rFonts w:hint="eastAsia" w:ascii="宋体" w:hAnsi="宋体" w:cs="宋体"/>
          <w:color w:val="000000"/>
          <w:szCs w:val="21"/>
        </w:rPr>
        <w:t>　四、各行业划型标准为：</w:t>
      </w:r>
    </w:p>
    <w:p w14:paraId="08995A55">
      <w:pPr>
        <w:rPr>
          <w:rFonts w:hint="eastAsia" w:ascii="宋体" w:hAnsi="宋体" w:cs="宋体"/>
          <w:color w:val="000000"/>
          <w:szCs w:val="21"/>
        </w:rPr>
      </w:pPr>
      <w:r>
        <w:rPr>
          <w:rFonts w:hint="eastAsia" w:ascii="宋体" w:hAnsi="宋体" w:cs="宋体"/>
          <w:color w:val="000000"/>
          <w:szCs w:val="21"/>
        </w:rPr>
        <w:t>（一）农、林、牧、渔业。营业收入20000万元以下的为中小微型企业。其中，营业收入500万元及以上的为中型企业，营业收入50万元及以上的为小型企业，营业收入50万元以下的为微型企业。</w:t>
      </w:r>
    </w:p>
    <w:p w14:paraId="58160AF0">
      <w:pPr>
        <w:rPr>
          <w:rFonts w:hint="eastAsia" w:ascii="宋体" w:hAnsi="宋体" w:cs="宋体"/>
          <w:color w:val="000000"/>
          <w:szCs w:val="21"/>
        </w:rPr>
      </w:pPr>
      <w:r>
        <w:rPr>
          <w:rFonts w:hint="eastAsia" w:ascii="宋体" w:hAnsi="宋体" w:cs="宋体"/>
          <w:color w:val="000000"/>
          <w:szCs w:val="21"/>
        </w:rPr>
        <w:t>（二）</w:t>
      </w:r>
      <w:r>
        <w:rPr>
          <w:rFonts w:hint="eastAsia" w:ascii="宋体" w:hAnsi="宋体" w:cs="宋体"/>
          <w:szCs w:val="21"/>
        </w:rPr>
        <w:t>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775940BA">
      <w:pPr>
        <w:rPr>
          <w:rFonts w:hint="eastAsia" w:ascii="宋体" w:hAnsi="宋体" w:cs="宋体"/>
          <w:color w:val="000000"/>
          <w:szCs w:val="21"/>
        </w:rPr>
      </w:pPr>
      <w:r>
        <w:rPr>
          <w:rFonts w:hint="eastAsia" w:ascii="宋体" w:hAnsi="宋体" w:cs="宋体"/>
          <w:color w:val="000000"/>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CCE0CC5">
      <w:pPr>
        <w:rPr>
          <w:rFonts w:hint="eastAsia" w:ascii="宋体" w:hAnsi="宋体" w:cs="宋体"/>
          <w:color w:val="000000"/>
          <w:szCs w:val="21"/>
        </w:rPr>
      </w:pPr>
      <w:r>
        <w:rPr>
          <w:rFonts w:hint="eastAsia" w:ascii="宋体" w:hAnsi="宋体" w:cs="宋体"/>
          <w:color w:val="000000"/>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AFB2B18">
      <w:pPr>
        <w:rPr>
          <w:rFonts w:hint="eastAsia" w:ascii="宋体" w:hAnsi="宋体" w:cs="宋体"/>
          <w:color w:val="000000"/>
          <w:szCs w:val="21"/>
        </w:rPr>
      </w:pPr>
      <w:r>
        <w:rPr>
          <w:rFonts w:hint="eastAsia" w:ascii="宋体" w:hAnsi="宋体" w:cs="宋体"/>
          <w:color w:val="000000"/>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FAF59B4">
      <w:pPr>
        <w:rPr>
          <w:rFonts w:hint="eastAsia" w:ascii="宋体" w:hAnsi="宋体" w:cs="宋体"/>
          <w:color w:val="000000"/>
          <w:szCs w:val="21"/>
        </w:rPr>
      </w:pPr>
      <w:r>
        <w:rPr>
          <w:rFonts w:hint="eastAsia" w:ascii="宋体" w:hAnsi="宋体" w:cs="宋体"/>
          <w:color w:val="000000"/>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337E239">
      <w:pPr>
        <w:rPr>
          <w:rFonts w:hint="eastAsia" w:ascii="宋体" w:hAnsi="宋体" w:cs="宋体"/>
          <w:color w:val="000000"/>
          <w:szCs w:val="21"/>
        </w:rPr>
      </w:pPr>
      <w:r>
        <w:rPr>
          <w:rFonts w:hint="eastAsia" w:ascii="宋体" w:hAnsi="宋体" w:cs="宋体"/>
          <w:color w:val="000000"/>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63639411">
      <w:pPr>
        <w:rPr>
          <w:rFonts w:hint="eastAsia" w:ascii="宋体" w:hAnsi="宋体" w:cs="宋体"/>
          <w:color w:val="000000"/>
          <w:szCs w:val="21"/>
        </w:rPr>
      </w:pPr>
      <w:r>
        <w:rPr>
          <w:rFonts w:hint="eastAsia" w:ascii="宋体" w:hAnsi="宋体" w:cs="宋体"/>
          <w:color w:val="000000"/>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144BCF3F">
      <w:pPr>
        <w:rPr>
          <w:rFonts w:hint="eastAsia" w:ascii="宋体" w:hAnsi="宋体" w:cs="宋体"/>
          <w:color w:val="000000"/>
          <w:szCs w:val="21"/>
        </w:rPr>
      </w:pPr>
      <w:r>
        <w:rPr>
          <w:rFonts w:hint="eastAsia" w:ascii="宋体" w:hAnsi="宋体" w:cs="宋体"/>
          <w:color w:val="000000"/>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10916B4">
      <w:pPr>
        <w:rPr>
          <w:rFonts w:hint="eastAsia" w:ascii="宋体" w:hAnsi="宋体" w:cs="宋体"/>
          <w:color w:val="000000"/>
          <w:szCs w:val="21"/>
        </w:rPr>
      </w:pPr>
      <w:r>
        <w:rPr>
          <w:rFonts w:hint="eastAsia" w:ascii="宋体" w:hAnsi="宋体" w:cs="宋体"/>
          <w:color w:val="000000"/>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30E16A9">
      <w:pPr>
        <w:rPr>
          <w:rFonts w:hint="eastAsia" w:ascii="宋体" w:hAnsi="宋体" w:cs="宋体"/>
          <w:color w:val="000000"/>
          <w:szCs w:val="21"/>
        </w:rPr>
      </w:pPr>
      <w:r>
        <w:rPr>
          <w:rFonts w:hint="eastAsia" w:ascii="宋体" w:hAnsi="宋体" w:cs="宋体"/>
          <w:color w:val="000000"/>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22E4BED9">
      <w:pPr>
        <w:rPr>
          <w:rFonts w:hint="eastAsia" w:ascii="宋体" w:hAnsi="宋体" w:cs="宋体"/>
          <w:color w:val="000000"/>
          <w:szCs w:val="21"/>
        </w:rPr>
      </w:pPr>
      <w:r>
        <w:rPr>
          <w:rFonts w:hint="eastAsia" w:ascii="宋体" w:hAnsi="宋体" w:cs="宋体"/>
          <w:color w:val="000000"/>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8717839">
      <w:pPr>
        <w:rPr>
          <w:rFonts w:hint="eastAsia" w:ascii="宋体" w:hAnsi="宋体" w:cs="宋体"/>
          <w:color w:val="000000"/>
          <w:szCs w:val="21"/>
        </w:rPr>
      </w:pPr>
      <w:r>
        <w:rPr>
          <w:rFonts w:hint="eastAsia" w:ascii="宋体" w:hAnsi="宋体" w:cs="宋体"/>
          <w:color w:val="000000"/>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98BC251">
      <w:pPr>
        <w:rPr>
          <w:rFonts w:hint="eastAsia" w:ascii="宋体" w:hAnsi="宋体" w:cs="宋体"/>
          <w:color w:val="000000"/>
          <w:szCs w:val="21"/>
        </w:rPr>
      </w:pPr>
      <w:r>
        <w:rPr>
          <w:rFonts w:hint="eastAsia" w:ascii="宋体" w:hAnsi="宋体" w:cs="宋体"/>
          <w:color w:val="000000"/>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136A909A">
      <w:pPr>
        <w:rPr>
          <w:rFonts w:hint="eastAsia" w:ascii="宋体" w:hAnsi="宋体" w:cs="宋体"/>
          <w:color w:val="000000"/>
          <w:szCs w:val="21"/>
        </w:rPr>
      </w:pPr>
      <w:r>
        <w:rPr>
          <w:rFonts w:hint="eastAsia" w:ascii="宋体" w:hAnsi="宋体" w:cs="宋体"/>
          <w:color w:val="000000"/>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CFABC94">
      <w:pPr>
        <w:rPr>
          <w:rFonts w:hint="eastAsia" w:ascii="宋体" w:hAnsi="宋体" w:cs="宋体"/>
          <w:color w:val="000000"/>
          <w:szCs w:val="21"/>
        </w:rPr>
      </w:pPr>
      <w:r>
        <w:rPr>
          <w:rFonts w:hint="eastAsia" w:ascii="宋体" w:hAnsi="宋体" w:cs="宋体"/>
          <w:color w:val="000000"/>
          <w:szCs w:val="21"/>
        </w:rPr>
        <w:t>（十六）其他未列明行业。从业人员300人以下的为中小微型企业。其中，从业人员100人及以上的为中型企业；从业人员10人及以上的为小型企业；从业人员10人以下的为微型企业。</w:t>
      </w:r>
    </w:p>
    <w:p w14:paraId="55F6E544">
      <w:pPr>
        <w:rPr>
          <w:rFonts w:hint="eastAsia" w:ascii="宋体" w:hAnsi="宋体" w:cs="宋体"/>
          <w:color w:val="000000"/>
          <w:szCs w:val="21"/>
        </w:rPr>
      </w:pPr>
      <w:r>
        <w:rPr>
          <w:rFonts w:hint="eastAsia" w:ascii="宋体" w:hAnsi="宋体" w:cs="宋体"/>
          <w:color w:val="000000"/>
          <w:szCs w:val="21"/>
        </w:rPr>
        <w:t>五、企业类型的划分以统计部门的统计数据为依据。</w:t>
      </w:r>
    </w:p>
    <w:p w14:paraId="1DA03760">
      <w:pPr>
        <w:rPr>
          <w:rFonts w:hint="eastAsia" w:ascii="宋体" w:hAnsi="宋体" w:cs="宋体"/>
          <w:color w:val="000000"/>
          <w:szCs w:val="21"/>
        </w:rPr>
      </w:pPr>
      <w:r>
        <w:rPr>
          <w:rFonts w:hint="eastAsia" w:ascii="宋体" w:hAnsi="宋体" w:cs="宋体"/>
          <w:color w:val="000000"/>
          <w:szCs w:val="21"/>
        </w:rPr>
        <w:t>六、本规定适用于在中华人民共和国境内依法设立的各类所有制和各种组织形式的企业。个体工商户和本规定以外的行业，参照本规定进行划型。</w:t>
      </w:r>
    </w:p>
    <w:p w14:paraId="53431E0F">
      <w:pPr>
        <w:rPr>
          <w:rFonts w:hint="eastAsia" w:ascii="宋体" w:hAnsi="宋体" w:cs="宋体"/>
          <w:color w:val="000000"/>
          <w:szCs w:val="21"/>
        </w:rPr>
      </w:pPr>
      <w:r>
        <w:rPr>
          <w:rFonts w:hint="eastAsia" w:ascii="宋体" w:hAnsi="宋体" w:cs="宋体"/>
          <w:color w:val="000000"/>
          <w:szCs w:val="21"/>
        </w:rPr>
        <w:t>七、本规定的中型企业标准上限即为大型企业标准的下限，国家统计部门据此制定大中小微型企业的统计分类。国务院有关部门据此进行相关数据分析，不得制定与本规定不一致的企业划型标准。</w:t>
      </w:r>
    </w:p>
    <w:p w14:paraId="256A0DD3">
      <w:pPr>
        <w:rPr>
          <w:rFonts w:hint="eastAsia" w:ascii="宋体" w:hAnsi="宋体" w:cs="宋体"/>
          <w:color w:val="000000"/>
          <w:szCs w:val="21"/>
        </w:rPr>
      </w:pPr>
      <w:r>
        <w:rPr>
          <w:rFonts w:hint="eastAsia" w:ascii="宋体" w:hAnsi="宋体" w:cs="宋体"/>
          <w:color w:val="000000"/>
          <w:szCs w:val="21"/>
        </w:rPr>
        <w:t>八、本规定由工业和信息化部、国家统计局会同有关部门根据《国民经济行业分类》修订情况和企业发展变化情况适时修订。</w:t>
      </w:r>
    </w:p>
    <w:p w14:paraId="7689D2B9">
      <w:pPr>
        <w:rPr>
          <w:rFonts w:hint="eastAsia" w:ascii="宋体" w:hAnsi="宋体" w:cs="宋体"/>
          <w:color w:val="000000"/>
          <w:szCs w:val="21"/>
        </w:rPr>
      </w:pPr>
      <w:r>
        <w:rPr>
          <w:rFonts w:hint="eastAsia" w:ascii="宋体" w:hAnsi="宋体" w:cs="宋体"/>
          <w:color w:val="000000"/>
          <w:szCs w:val="21"/>
        </w:rPr>
        <w:t>九、本规定由工业和信息化部、国家统计局会同有关部门负责解释。</w:t>
      </w:r>
    </w:p>
    <w:p w14:paraId="1814F168">
      <w:pPr>
        <w:rPr>
          <w:rFonts w:hint="eastAsia" w:ascii="宋体" w:hAnsi="宋体" w:cs="宋体"/>
          <w:color w:val="000000"/>
          <w:szCs w:val="21"/>
        </w:rPr>
      </w:pPr>
      <w:r>
        <w:rPr>
          <w:rFonts w:hint="eastAsia" w:ascii="宋体" w:hAnsi="宋体" w:cs="宋体"/>
          <w:color w:val="000000"/>
          <w:szCs w:val="21"/>
        </w:rPr>
        <w:t>十、本规定自发布之日起执行，原国家经贸委、原国家计委、财政部和国家统计局2003年颁布的《中小企业标准暂行规定》同时废止。</w:t>
      </w:r>
    </w:p>
    <w:p w14:paraId="0926AA2B">
      <w:pPr>
        <w:rPr>
          <w:rFonts w:hint="eastAsia" w:ascii="宋体" w:hAnsi="宋体" w:cs="宋体"/>
          <w:color w:val="000000"/>
          <w:szCs w:val="21"/>
        </w:rPr>
      </w:pPr>
    </w:p>
    <w:p w14:paraId="4361EE2B">
      <w:pPr>
        <w:spacing w:after="240"/>
        <w:jc w:val="center"/>
        <w:rPr>
          <w:rFonts w:hint="eastAsia" w:ascii="宋体" w:hAnsi="宋体" w:cs="宋体"/>
          <w:szCs w:val="21"/>
          <w:lang w:val="zh-TW" w:eastAsia="zh-TW" w:bidi="zh-TW"/>
        </w:rPr>
        <w:sectPr>
          <w:pgSz w:w="11906" w:h="16838"/>
          <w:pgMar w:top="1134" w:right="1134" w:bottom="1418" w:left="1418" w:header="851" w:footer="992" w:gutter="0"/>
          <w:cols w:space="425" w:num="1"/>
          <w:docGrid w:type="lines" w:linePitch="312" w:charSpace="0"/>
        </w:sectPr>
      </w:pPr>
    </w:p>
    <w:p w14:paraId="7E7F9BBC">
      <w:pPr>
        <w:outlineLvl w:val="2"/>
        <w:rPr>
          <w:rFonts w:hint="eastAsia" w:ascii="宋体" w:hAnsi="宋体" w:cs="宋体"/>
          <w:b/>
          <w:kern w:val="0"/>
          <w:szCs w:val="21"/>
        </w:rPr>
      </w:pPr>
      <w:r>
        <w:rPr>
          <w:rFonts w:hint="eastAsia" w:ascii="宋体" w:hAnsi="宋体" w:cs="宋体"/>
          <w:b/>
          <w:kern w:val="0"/>
          <w:szCs w:val="21"/>
          <w:lang w:val="zh-TW" w:eastAsia="zh-TW" w:bidi="zh-TW"/>
        </w:rPr>
        <w:t>附件</w:t>
      </w:r>
      <w:r>
        <w:rPr>
          <w:rFonts w:hint="eastAsia" w:ascii="宋体" w:hAnsi="宋体" w:cs="宋体"/>
          <w:b/>
          <w:kern w:val="0"/>
          <w:szCs w:val="21"/>
          <w:lang w:val="zh-TW" w:bidi="zh-TW"/>
        </w:rPr>
        <w:t>五</w:t>
      </w:r>
    </w:p>
    <w:p w14:paraId="56476E76">
      <w:pPr>
        <w:rPr>
          <w:rFonts w:hint="eastAsia" w:ascii="宋体" w:hAnsi="宋体" w:cs="宋体"/>
          <w:szCs w:val="21"/>
        </w:rPr>
      </w:pPr>
    </w:p>
    <w:p w14:paraId="098F3B0F">
      <w:pPr>
        <w:spacing w:after="240"/>
        <w:jc w:val="center"/>
        <w:rPr>
          <w:rFonts w:hint="eastAsia" w:ascii="宋体" w:hAnsi="宋体" w:cs="宋体"/>
          <w:szCs w:val="21"/>
          <w:lang w:val="zh-TW" w:bidi="zh-TW"/>
        </w:rPr>
      </w:pPr>
      <w:r>
        <w:rPr>
          <w:rFonts w:hint="eastAsia" w:ascii="宋体" w:hAnsi="宋体" w:cs="宋体"/>
          <w:szCs w:val="21"/>
          <w:lang w:val="zh-TW" w:eastAsia="zh-TW" w:bidi="zh-TW"/>
        </w:rPr>
        <w:t>河南省政府采购合同融资政策告知函</w:t>
      </w:r>
    </w:p>
    <w:p w14:paraId="24F21F2E">
      <w:pPr>
        <w:widowControl/>
        <w:spacing w:line="360" w:lineRule="auto"/>
        <w:ind w:firstLine="420" w:firstLineChars="200"/>
        <w:rPr>
          <w:rFonts w:hint="eastAsia" w:ascii="宋体" w:hAnsi="宋体" w:cs="宋体"/>
          <w:szCs w:val="21"/>
        </w:rPr>
      </w:pPr>
      <w:r>
        <w:rPr>
          <w:rFonts w:hint="eastAsia" w:ascii="宋体" w:hAnsi="宋体" w:cs="宋体"/>
          <w:szCs w:val="21"/>
        </w:rPr>
        <w:t>各供应商：</w:t>
      </w:r>
    </w:p>
    <w:p w14:paraId="5A6B437A">
      <w:pPr>
        <w:widowControl/>
        <w:spacing w:line="360" w:lineRule="auto"/>
        <w:ind w:firstLine="420" w:firstLineChars="200"/>
        <w:rPr>
          <w:rFonts w:hint="eastAsia" w:ascii="宋体" w:hAnsi="宋体" w:cs="宋体"/>
          <w:szCs w:val="21"/>
        </w:rPr>
      </w:pPr>
      <w:r>
        <w:rPr>
          <w:rFonts w:hint="eastAsia" w:ascii="宋体" w:hAnsi="宋体" w:cs="宋体"/>
          <w:szCs w:val="21"/>
        </w:rPr>
        <w:t>欢迎贵公司参与河南省政府采购活动！</w:t>
      </w:r>
    </w:p>
    <w:p w14:paraId="7187C04D">
      <w:pPr>
        <w:widowControl/>
        <w:spacing w:line="360" w:lineRule="auto"/>
        <w:ind w:firstLine="420" w:firstLineChars="200"/>
        <w:rPr>
          <w:rFonts w:hint="eastAsia" w:ascii="宋体" w:hAnsi="宋体" w:cs="宋体"/>
          <w:szCs w:val="21"/>
        </w:rPr>
      </w:pPr>
      <w:r>
        <w:rPr>
          <w:rFonts w:hint="eastAsia" w:ascii="宋体" w:hAnsi="宋体" w:cs="宋体"/>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4498F9E">
      <w:pPr>
        <w:widowControl/>
        <w:spacing w:line="360" w:lineRule="auto"/>
        <w:ind w:firstLine="420" w:firstLineChars="200"/>
        <w:rPr>
          <w:rFonts w:hint="eastAsia" w:ascii="宋体" w:hAnsi="宋体" w:cs="宋体"/>
          <w:szCs w:val="21"/>
          <w:lang w:val="zh-CN"/>
        </w:rPr>
      </w:pPr>
      <w:r>
        <w:rPr>
          <w:rFonts w:hint="eastAsia" w:ascii="宋体" w:hAnsi="宋体" w:cs="宋体"/>
          <w:szCs w:val="21"/>
        </w:rPr>
        <w:t xml:space="preserve">贷款渠道和提供贷款的金融机构，可在河南省政府采购网 </w:t>
      </w:r>
      <w:r>
        <w:rPr>
          <w:rFonts w:hint="eastAsia" w:ascii="宋体" w:hAnsi="宋体" w:cs="宋体"/>
          <w:szCs w:val="21"/>
          <w:lang w:val="zh-CN"/>
        </w:rPr>
        <w:t>“河南</w:t>
      </w:r>
      <w:r>
        <w:rPr>
          <w:rFonts w:hint="eastAsia" w:ascii="宋体" w:hAnsi="宋体" w:cs="宋体"/>
          <w:szCs w:val="21"/>
        </w:rPr>
        <w:t>省政府采购合同融资</w:t>
      </w:r>
      <w:r>
        <w:rPr>
          <w:rFonts w:hint="eastAsia" w:ascii="宋体" w:hAnsi="宋体" w:cs="宋体"/>
          <w:szCs w:val="21"/>
          <w:lang w:val="zh-CN"/>
        </w:rPr>
        <w:t>平台”</w:t>
      </w:r>
      <w:r>
        <w:rPr>
          <w:rFonts w:hint="eastAsia" w:ascii="宋体" w:hAnsi="宋体" w:cs="宋体"/>
          <w:szCs w:val="21"/>
        </w:rPr>
        <w:t>查询</w:t>
      </w:r>
      <w:r>
        <w:rPr>
          <w:rFonts w:hint="eastAsia" w:ascii="宋体" w:hAnsi="宋体" w:cs="宋体"/>
          <w:szCs w:val="21"/>
          <w:lang w:val="zh-CN"/>
        </w:rPr>
        <w:t>联系。</w:t>
      </w:r>
    </w:p>
    <w:p w14:paraId="4A62BADD">
      <w:pPr>
        <w:spacing w:after="120"/>
        <w:rPr>
          <w:rFonts w:hint="eastAsia" w:ascii="宋体" w:hAnsi="宋体"/>
        </w:rPr>
      </w:pPr>
    </w:p>
    <w:p w14:paraId="570697A2">
      <w:pPr>
        <w:spacing w:after="120"/>
        <w:rPr>
          <w:rFonts w:hint="eastAsia" w:ascii="宋体" w:hAnsi="宋体"/>
        </w:rPr>
      </w:pPr>
    </w:p>
    <w:p w14:paraId="204D63CB">
      <w:pPr>
        <w:spacing w:after="120"/>
        <w:rPr>
          <w:rFonts w:hint="eastAsia" w:ascii="宋体" w:hAnsi="宋体"/>
        </w:rPr>
      </w:pPr>
    </w:p>
    <w:p w14:paraId="56850335"/>
    <w:p w14:paraId="33755D58"/>
    <w:bookmarkEnd w:id="285"/>
    <w:p w14:paraId="594E3424"/>
    <w:sectPr>
      <w:pgSz w:w="11906" w:h="16838"/>
      <w:pgMar w:top="1134" w:right="1134"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0411302"/>
    </w:sdtPr>
    <w:sdtContent>
      <w:p w14:paraId="0161A730">
        <w:pPr>
          <w:pStyle w:val="14"/>
          <w:jc w:val="right"/>
        </w:pPr>
        <w:r>
          <w:fldChar w:fldCharType="begin"/>
        </w:r>
        <w:r>
          <w:instrText xml:space="preserve">PAGE   \* MERGEFORMAT</w:instrText>
        </w:r>
        <w:r>
          <w:fldChar w:fldCharType="separate"/>
        </w:r>
        <w:r>
          <w:rPr>
            <w:lang w:val="zh-CN"/>
          </w:rPr>
          <w:t>25</w:t>
        </w:r>
        <w:r>
          <w:fldChar w:fldCharType="end"/>
        </w:r>
      </w:p>
    </w:sdtContent>
  </w:sdt>
  <w:p w14:paraId="2662D3D2">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E2CB0D"/>
    <w:multiLevelType w:val="singleLevel"/>
    <w:tmpl w:val="F2E2CB0D"/>
    <w:lvl w:ilvl="0" w:tentative="0">
      <w:start w:val="1"/>
      <w:numFmt w:val="chineseCounting"/>
      <w:suff w:val="nothing"/>
      <w:lvlText w:val="%1、"/>
      <w:lvlJc w:val="left"/>
      <w:rPr>
        <w:rFonts w:hint="eastAsia"/>
      </w:rPr>
    </w:lvl>
  </w:abstractNum>
  <w:abstractNum w:abstractNumId="1">
    <w:nsid w:val="0000000C"/>
    <w:multiLevelType w:val="singleLevel"/>
    <w:tmpl w:val="0000000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hNjE2NDk4MTgzMzhmMTBiNjM1NGJjM2M2NDMwMzkifQ=="/>
  </w:docVars>
  <w:rsids>
    <w:rsidRoot w:val="0075638D"/>
    <w:rsid w:val="00001F18"/>
    <w:rsid w:val="00002B01"/>
    <w:rsid w:val="000112FC"/>
    <w:rsid w:val="00012CA7"/>
    <w:rsid w:val="000152F8"/>
    <w:rsid w:val="0001656E"/>
    <w:rsid w:val="0002093D"/>
    <w:rsid w:val="00026960"/>
    <w:rsid w:val="000304A6"/>
    <w:rsid w:val="00030730"/>
    <w:rsid w:val="00030B81"/>
    <w:rsid w:val="00031F5C"/>
    <w:rsid w:val="00041A36"/>
    <w:rsid w:val="00044B8D"/>
    <w:rsid w:val="00047A20"/>
    <w:rsid w:val="00051F79"/>
    <w:rsid w:val="00065F3F"/>
    <w:rsid w:val="00066D36"/>
    <w:rsid w:val="000678A3"/>
    <w:rsid w:val="00071D19"/>
    <w:rsid w:val="00072D50"/>
    <w:rsid w:val="000733AE"/>
    <w:rsid w:val="00073491"/>
    <w:rsid w:val="00080063"/>
    <w:rsid w:val="00082E6D"/>
    <w:rsid w:val="00087964"/>
    <w:rsid w:val="00092BF5"/>
    <w:rsid w:val="000970E3"/>
    <w:rsid w:val="000971C4"/>
    <w:rsid w:val="000A046C"/>
    <w:rsid w:val="000B239D"/>
    <w:rsid w:val="000B24CF"/>
    <w:rsid w:val="000B391D"/>
    <w:rsid w:val="000B510B"/>
    <w:rsid w:val="000B5938"/>
    <w:rsid w:val="000C2A8D"/>
    <w:rsid w:val="000C6C1D"/>
    <w:rsid w:val="000D5D9F"/>
    <w:rsid w:val="000E2E93"/>
    <w:rsid w:val="00100E29"/>
    <w:rsid w:val="001079C5"/>
    <w:rsid w:val="00110833"/>
    <w:rsid w:val="00111457"/>
    <w:rsid w:val="0011247D"/>
    <w:rsid w:val="00116DB7"/>
    <w:rsid w:val="001223F2"/>
    <w:rsid w:val="0013041D"/>
    <w:rsid w:val="00131574"/>
    <w:rsid w:val="001323C9"/>
    <w:rsid w:val="00136B7C"/>
    <w:rsid w:val="00142FAE"/>
    <w:rsid w:val="001449D6"/>
    <w:rsid w:val="0015133F"/>
    <w:rsid w:val="00153488"/>
    <w:rsid w:val="00154C0F"/>
    <w:rsid w:val="00154CA2"/>
    <w:rsid w:val="001616E1"/>
    <w:rsid w:val="00165550"/>
    <w:rsid w:val="00166720"/>
    <w:rsid w:val="001733E1"/>
    <w:rsid w:val="00174E40"/>
    <w:rsid w:val="001750F9"/>
    <w:rsid w:val="0017680A"/>
    <w:rsid w:val="001816C4"/>
    <w:rsid w:val="00182657"/>
    <w:rsid w:val="001846A9"/>
    <w:rsid w:val="0019008C"/>
    <w:rsid w:val="00193993"/>
    <w:rsid w:val="00193E19"/>
    <w:rsid w:val="001A28FF"/>
    <w:rsid w:val="001A6C57"/>
    <w:rsid w:val="001A7201"/>
    <w:rsid w:val="001B1AE8"/>
    <w:rsid w:val="001B5ACF"/>
    <w:rsid w:val="001B731F"/>
    <w:rsid w:val="001C11EA"/>
    <w:rsid w:val="001C1C49"/>
    <w:rsid w:val="001C358B"/>
    <w:rsid w:val="001C47FF"/>
    <w:rsid w:val="001D2D62"/>
    <w:rsid w:val="001D712E"/>
    <w:rsid w:val="001D7C03"/>
    <w:rsid w:val="00201317"/>
    <w:rsid w:val="00204A14"/>
    <w:rsid w:val="0020675B"/>
    <w:rsid w:val="002103B7"/>
    <w:rsid w:val="002130B8"/>
    <w:rsid w:val="002161C9"/>
    <w:rsid w:val="002205DB"/>
    <w:rsid w:val="00244054"/>
    <w:rsid w:val="00251455"/>
    <w:rsid w:val="002564A8"/>
    <w:rsid w:val="00256C20"/>
    <w:rsid w:val="00261F20"/>
    <w:rsid w:val="00264229"/>
    <w:rsid w:val="0026587A"/>
    <w:rsid w:val="002669A2"/>
    <w:rsid w:val="00267995"/>
    <w:rsid w:val="00267A84"/>
    <w:rsid w:val="00267AB3"/>
    <w:rsid w:val="00273004"/>
    <w:rsid w:val="00273887"/>
    <w:rsid w:val="00280E6B"/>
    <w:rsid w:val="00282C5B"/>
    <w:rsid w:val="00283332"/>
    <w:rsid w:val="00286981"/>
    <w:rsid w:val="00286DC7"/>
    <w:rsid w:val="002872A8"/>
    <w:rsid w:val="002933A8"/>
    <w:rsid w:val="00293AC5"/>
    <w:rsid w:val="002A092E"/>
    <w:rsid w:val="002B04E1"/>
    <w:rsid w:val="002B13DE"/>
    <w:rsid w:val="002B14D8"/>
    <w:rsid w:val="002B3D2F"/>
    <w:rsid w:val="002B6159"/>
    <w:rsid w:val="002C1926"/>
    <w:rsid w:val="002C5558"/>
    <w:rsid w:val="002C603A"/>
    <w:rsid w:val="002D41A2"/>
    <w:rsid w:val="002D4B73"/>
    <w:rsid w:val="002D79BB"/>
    <w:rsid w:val="002D7FF9"/>
    <w:rsid w:val="002F49A4"/>
    <w:rsid w:val="00303A39"/>
    <w:rsid w:val="0030793C"/>
    <w:rsid w:val="00307B6E"/>
    <w:rsid w:val="003106E3"/>
    <w:rsid w:val="00310E5F"/>
    <w:rsid w:val="0031709F"/>
    <w:rsid w:val="00323BE0"/>
    <w:rsid w:val="00324E6B"/>
    <w:rsid w:val="00324EEA"/>
    <w:rsid w:val="003300A9"/>
    <w:rsid w:val="00332BF8"/>
    <w:rsid w:val="00335566"/>
    <w:rsid w:val="0033674C"/>
    <w:rsid w:val="00337EBB"/>
    <w:rsid w:val="00342CAB"/>
    <w:rsid w:val="00351432"/>
    <w:rsid w:val="00352370"/>
    <w:rsid w:val="00360C53"/>
    <w:rsid w:val="0036775B"/>
    <w:rsid w:val="003718AA"/>
    <w:rsid w:val="00376580"/>
    <w:rsid w:val="00382FA0"/>
    <w:rsid w:val="00384729"/>
    <w:rsid w:val="00384D7F"/>
    <w:rsid w:val="00386747"/>
    <w:rsid w:val="003952EB"/>
    <w:rsid w:val="003A1F89"/>
    <w:rsid w:val="003B0A01"/>
    <w:rsid w:val="003B1A24"/>
    <w:rsid w:val="003B5D86"/>
    <w:rsid w:val="003B735E"/>
    <w:rsid w:val="003C4AF8"/>
    <w:rsid w:val="003D292F"/>
    <w:rsid w:val="003D5C0F"/>
    <w:rsid w:val="003D7A32"/>
    <w:rsid w:val="003E2003"/>
    <w:rsid w:val="003E7B50"/>
    <w:rsid w:val="003F10BD"/>
    <w:rsid w:val="003F1583"/>
    <w:rsid w:val="003F2996"/>
    <w:rsid w:val="003F4FC7"/>
    <w:rsid w:val="003F783C"/>
    <w:rsid w:val="00400446"/>
    <w:rsid w:val="0040107E"/>
    <w:rsid w:val="0040467B"/>
    <w:rsid w:val="0041351E"/>
    <w:rsid w:val="00426412"/>
    <w:rsid w:val="0042768A"/>
    <w:rsid w:val="00462CEC"/>
    <w:rsid w:val="00473F50"/>
    <w:rsid w:val="0047604D"/>
    <w:rsid w:val="00480569"/>
    <w:rsid w:val="004824DB"/>
    <w:rsid w:val="0048392D"/>
    <w:rsid w:val="004868AF"/>
    <w:rsid w:val="00486F4B"/>
    <w:rsid w:val="00491675"/>
    <w:rsid w:val="00497FB6"/>
    <w:rsid w:val="004A216B"/>
    <w:rsid w:val="004A2390"/>
    <w:rsid w:val="004A2AA3"/>
    <w:rsid w:val="004A5F4C"/>
    <w:rsid w:val="004B345C"/>
    <w:rsid w:val="004C1498"/>
    <w:rsid w:val="004C5BB2"/>
    <w:rsid w:val="004D04FC"/>
    <w:rsid w:val="004D3A6F"/>
    <w:rsid w:val="004E5828"/>
    <w:rsid w:val="004E6D14"/>
    <w:rsid w:val="004F2D4A"/>
    <w:rsid w:val="0050006A"/>
    <w:rsid w:val="0050222E"/>
    <w:rsid w:val="0050283D"/>
    <w:rsid w:val="00504B4B"/>
    <w:rsid w:val="00504EEB"/>
    <w:rsid w:val="0050751C"/>
    <w:rsid w:val="00510D92"/>
    <w:rsid w:val="005125B9"/>
    <w:rsid w:val="005174F5"/>
    <w:rsid w:val="0052182F"/>
    <w:rsid w:val="00521B96"/>
    <w:rsid w:val="005242F7"/>
    <w:rsid w:val="00530E9F"/>
    <w:rsid w:val="00532B33"/>
    <w:rsid w:val="0053779E"/>
    <w:rsid w:val="00541B72"/>
    <w:rsid w:val="00542FB7"/>
    <w:rsid w:val="0055034A"/>
    <w:rsid w:val="00551A4E"/>
    <w:rsid w:val="00552808"/>
    <w:rsid w:val="00555427"/>
    <w:rsid w:val="005601C1"/>
    <w:rsid w:val="005650C3"/>
    <w:rsid w:val="005661A0"/>
    <w:rsid w:val="00566F1D"/>
    <w:rsid w:val="005731D4"/>
    <w:rsid w:val="005757D9"/>
    <w:rsid w:val="00580324"/>
    <w:rsid w:val="00581531"/>
    <w:rsid w:val="00587F0B"/>
    <w:rsid w:val="00592C20"/>
    <w:rsid w:val="00594686"/>
    <w:rsid w:val="00597A93"/>
    <w:rsid w:val="005A38A2"/>
    <w:rsid w:val="005A538D"/>
    <w:rsid w:val="005B4C34"/>
    <w:rsid w:val="005B63A8"/>
    <w:rsid w:val="005B7D4F"/>
    <w:rsid w:val="005C33A4"/>
    <w:rsid w:val="005C44A1"/>
    <w:rsid w:val="005D5FCE"/>
    <w:rsid w:val="005D65AA"/>
    <w:rsid w:val="005D70B4"/>
    <w:rsid w:val="005E25DF"/>
    <w:rsid w:val="005E46E1"/>
    <w:rsid w:val="005E4979"/>
    <w:rsid w:val="005F3B24"/>
    <w:rsid w:val="005F5800"/>
    <w:rsid w:val="005F6EE4"/>
    <w:rsid w:val="00601B45"/>
    <w:rsid w:val="006115BB"/>
    <w:rsid w:val="006175C6"/>
    <w:rsid w:val="0062129F"/>
    <w:rsid w:val="00624BCA"/>
    <w:rsid w:val="0063043A"/>
    <w:rsid w:val="00631637"/>
    <w:rsid w:val="006326FD"/>
    <w:rsid w:val="006345AC"/>
    <w:rsid w:val="0063582A"/>
    <w:rsid w:val="0064068A"/>
    <w:rsid w:val="00640B5B"/>
    <w:rsid w:val="006439ED"/>
    <w:rsid w:val="00643F02"/>
    <w:rsid w:val="0065689A"/>
    <w:rsid w:val="0066148A"/>
    <w:rsid w:val="006633F2"/>
    <w:rsid w:val="00666EFD"/>
    <w:rsid w:val="00667B2D"/>
    <w:rsid w:val="00677635"/>
    <w:rsid w:val="00677AD5"/>
    <w:rsid w:val="00686C54"/>
    <w:rsid w:val="006871E5"/>
    <w:rsid w:val="00687D1F"/>
    <w:rsid w:val="00694B9A"/>
    <w:rsid w:val="00697266"/>
    <w:rsid w:val="00697F6C"/>
    <w:rsid w:val="006A1BA5"/>
    <w:rsid w:val="006A388D"/>
    <w:rsid w:val="006B38C2"/>
    <w:rsid w:val="006B72F6"/>
    <w:rsid w:val="006C3A60"/>
    <w:rsid w:val="006D1706"/>
    <w:rsid w:val="006D4FEF"/>
    <w:rsid w:val="006D5570"/>
    <w:rsid w:val="006D5C1E"/>
    <w:rsid w:val="006E412E"/>
    <w:rsid w:val="006E582D"/>
    <w:rsid w:val="006E6E2F"/>
    <w:rsid w:val="006F0F00"/>
    <w:rsid w:val="006F0FD7"/>
    <w:rsid w:val="006F37C8"/>
    <w:rsid w:val="006F3B9E"/>
    <w:rsid w:val="006F43BD"/>
    <w:rsid w:val="006F67EE"/>
    <w:rsid w:val="00700C38"/>
    <w:rsid w:val="007112C5"/>
    <w:rsid w:val="00713161"/>
    <w:rsid w:val="00732F24"/>
    <w:rsid w:val="007363FB"/>
    <w:rsid w:val="0073680B"/>
    <w:rsid w:val="0074045E"/>
    <w:rsid w:val="007415E3"/>
    <w:rsid w:val="00753BED"/>
    <w:rsid w:val="0075638D"/>
    <w:rsid w:val="0075706A"/>
    <w:rsid w:val="0075735C"/>
    <w:rsid w:val="00760035"/>
    <w:rsid w:val="00760F75"/>
    <w:rsid w:val="00763BBE"/>
    <w:rsid w:val="007664FB"/>
    <w:rsid w:val="00772323"/>
    <w:rsid w:val="0077268E"/>
    <w:rsid w:val="00772AAA"/>
    <w:rsid w:val="007805F1"/>
    <w:rsid w:val="007812B8"/>
    <w:rsid w:val="00786C56"/>
    <w:rsid w:val="00786F37"/>
    <w:rsid w:val="00790270"/>
    <w:rsid w:val="00796DD6"/>
    <w:rsid w:val="007A7928"/>
    <w:rsid w:val="007B5EF4"/>
    <w:rsid w:val="007C0610"/>
    <w:rsid w:val="007C0B4D"/>
    <w:rsid w:val="007D4AC2"/>
    <w:rsid w:val="007D5047"/>
    <w:rsid w:val="007D6287"/>
    <w:rsid w:val="007D6D09"/>
    <w:rsid w:val="007D7DD7"/>
    <w:rsid w:val="007E2344"/>
    <w:rsid w:val="007E3845"/>
    <w:rsid w:val="007E3E4A"/>
    <w:rsid w:val="007E6F21"/>
    <w:rsid w:val="008041AF"/>
    <w:rsid w:val="00804C7D"/>
    <w:rsid w:val="008073C2"/>
    <w:rsid w:val="00810797"/>
    <w:rsid w:val="008143F7"/>
    <w:rsid w:val="008155B3"/>
    <w:rsid w:val="008212DE"/>
    <w:rsid w:val="00825016"/>
    <w:rsid w:val="00837C68"/>
    <w:rsid w:val="00844B31"/>
    <w:rsid w:val="00847D8E"/>
    <w:rsid w:val="00853BDE"/>
    <w:rsid w:val="00857DDE"/>
    <w:rsid w:val="00865FE2"/>
    <w:rsid w:val="00866CDA"/>
    <w:rsid w:val="008733AF"/>
    <w:rsid w:val="008823C1"/>
    <w:rsid w:val="00882761"/>
    <w:rsid w:val="00884665"/>
    <w:rsid w:val="00891C4C"/>
    <w:rsid w:val="00891D97"/>
    <w:rsid w:val="008924FC"/>
    <w:rsid w:val="00892C37"/>
    <w:rsid w:val="008A6F04"/>
    <w:rsid w:val="008A7B35"/>
    <w:rsid w:val="008B2832"/>
    <w:rsid w:val="008C3DB9"/>
    <w:rsid w:val="008C6DC1"/>
    <w:rsid w:val="008E014D"/>
    <w:rsid w:val="008E01E2"/>
    <w:rsid w:val="008E0DED"/>
    <w:rsid w:val="008E4B86"/>
    <w:rsid w:val="008E5AE6"/>
    <w:rsid w:val="008E75AE"/>
    <w:rsid w:val="008F32F3"/>
    <w:rsid w:val="008F4DBC"/>
    <w:rsid w:val="0090142C"/>
    <w:rsid w:val="0090280F"/>
    <w:rsid w:val="00905546"/>
    <w:rsid w:val="00907792"/>
    <w:rsid w:val="009100BB"/>
    <w:rsid w:val="0092293E"/>
    <w:rsid w:val="00924D50"/>
    <w:rsid w:val="009378C7"/>
    <w:rsid w:val="00937E88"/>
    <w:rsid w:val="00937EF1"/>
    <w:rsid w:val="00942850"/>
    <w:rsid w:val="00942EB1"/>
    <w:rsid w:val="00943F4D"/>
    <w:rsid w:val="0094581E"/>
    <w:rsid w:val="00954233"/>
    <w:rsid w:val="00954333"/>
    <w:rsid w:val="00962823"/>
    <w:rsid w:val="00962EB9"/>
    <w:rsid w:val="0096540B"/>
    <w:rsid w:val="00966ECC"/>
    <w:rsid w:val="0097010E"/>
    <w:rsid w:val="0097180C"/>
    <w:rsid w:val="009739D0"/>
    <w:rsid w:val="00993766"/>
    <w:rsid w:val="00994452"/>
    <w:rsid w:val="009A0181"/>
    <w:rsid w:val="009A0E4A"/>
    <w:rsid w:val="009B0AE5"/>
    <w:rsid w:val="009B26F3"/>
    <w:rsid w:val="009C14BB"/>
    <w:rsid w:val="009C43AB"/>
    <w:rsid w:val="009C4A81"/>
    <w:rsid w:val="009D44CE"/>
    <w:rsid w:val="009E48D9"/>
    <w:rsid w:val="009E6BC4"/>
    <w:rsid w:val="009E7A8B"/>
    <w:rsid w:val="009F4F34"/>
    <w:rsid w:val="00A034DD"/>
    <w:rsid w:val="00A10CA9"/>
    <w:rsid w:val="00A134EB"/>
    <w:rsid w:val="00A13954"/>
    <w:rsid w:val="00A157B0"/>
    <w:rsid w:val="00A15F0C"/>
    <w:rsid w:val="00A20A13"/>
    <w:rsid w:val="00A21F9E"/>
    <w:rsid w:val="00A26556"/>
    <w:rsid w:val="00A27450"/>
    <w:rsid w:val="00A30B21"/>
    <w:rsid w:val="00A30FAA"/>
    <w:rsid w:val="00A313CB"/>
    <w:rsid w:val="00A318C6"/>
    <w:rsid w:val="00A32E6B"/>
    <w:rsid w:val="00A40BD4"/>
    <w:rsid w:val="00A42460"/>
    <w:rsid w:val="00A470BC"/>
    <w:rsid w:val="00A47456"/>
    <w:rsid w:val="00A527CA"/>
    <w:rsid w:val="00A608FE"/>
    <w:rsid w:val="00A652AA"/>
    <w:rsid w:val="00A70582"/>
    <w:rsid w:val="00A72F2F"/>
    <w:rsid w:val="00A76A32"/>
    <w:rsid w:val="00A83A19"/>
    <w:rsid w:val="00A83AB4"/>
    <w:rsid w:val="00A866E5"/>
    <w:rsid w:val="00A87123"/>
    <w:rsid w:val="00A922BB"/>
    <w:rsid w:val="00A934D8"/>
    <w:rsid w:val="00AA2145"/>
    <w:rsid w:val="00AA5505"/>
    <w:rsid w:val="00AA6373"/>
    <w:rsid w:val="00AB5534"/>
    <w:rsid w:val="00AB7C96"/>
    <w:rsid w:val="00AC129B"/>
    <w:rsid w:val="00AC5069"/>
    <w:rsid w:val="00AD604A"/>
    <w:rsid w:val="00AD74D8"/>
    <w:rsid w:val="00AE02F1"/>
    <w:rsid w:val="00AE1F1C"/>
    <w:rsid w:val="00AE2DD4"/>
    <w:rsid w:val="00AE3D9D"/>
    <w:rsid w:val="00AE3E88"/>
    <w:rsid w:val="00AE4E84"/>
    <w:rsid w:val="00AE6626"/>
    <w:rsid w:val="00AF1E58"/>
    <w:rsid w:val="00AF2362"/>
    <w:rsid w:val="00AF23C1"/>
    <w:rsid w:val="00AF2F60"/>
    <w:rsid w:val="00AF4DC4"/>
    <w:rsid w:val="00AF65A7"/>
    <w:rsid w:val="00B015D3"/>
    <w:rsid w:val="00B0323E"/>
    <w:rsid w:val="00B101A8"/>
    <w:rsid w:val="00B12653"/>
    <w:rsid w:val="00B255B7"/>
    <w:rsid w:val="00B303FE"/>
    <w:rsid w:val="00B31939"/>
    <w:rsid w:val="00B31A40"/>
    <w:rsid w:val="00B32626"/>
    <w:rsid w:val="00B50B60"/>
    <w:rsid w:val="00B5478D"/>
    <w:rsid w:val="00B54DFD"/>
    <w:rsid w:val="00B745FC"/>
    <w:rsid w:val="00B76469"/>
    <w:rsid w:val="00B827FF"/>
    <w:rsid w:val="00B831A3"/>
    <w:rsid w:val="00B863A5"/>
    <w:rsid w:val="00B87275"/>
    <w:rsid w:val="00B92107"/>
    <w:rsid w:val="00B952F8"/>
    <w:rsid w:val="00BA2968"/>
    <w:rsid w:val="00BB062A"/>
    <w:rsid w:val="00BB7E3E"/>
    <w:rsid w:val="00BD36E3"/>
    <w:rsid w:val="00BD40E0"/>
    <w:rsid w:val="00BD5245"/>
    <w:rsid w:val="00BD5A69"/>
    <w:rsid w:val="00BE56F6"/>
    <w:rsid w:val="00BE6D99"/>
    <w:rsid w:val="00BE6E85"/>
    <w:rsid w:val="00BF0FB4"/>
    <w:rsid w:val="00BF1808"/>
    <w:rsid w:val="00C109B6"/>
    <w:rsid w:val="00C13135"/>
    <w:rsid w:val="00C134F5"/>
    <w:rsid w:val="00C21AEF"/>
    <w:rsid w:val="00C22C59"/>
    <w:rsid w:val="00C23646"/>
    <w:rsid w:val="00C339EF"/>
    <w:rsid w:val="00C37EDB"/>
    <w:rsid w:val="00C40743"/>
    <w:rsid w:val="00C5226E"/>
    <w:rsid w:val="00C534BD"/>
    <w:rsid w:val="00C56B5D"/>
    <w:rsid w:val="00C57681"/>
    <w:rsid w:val="00C61800"/>
    <w:rsid w:val="00C70BA9"/>
    <w:rsid w:val="00C74327"/>
    <w:rsid w:val="00C8622A"/>
    <w:rsid w:val="00C91D69"/>
    <w:rsid w:val="00C97654"/>
    <w:rsid w:val="00C977D1"/>
    <w:rsid w:val="00CA1CEB"/>
    <w:rsid w:val="00CA2344"/>
    <w:rsid w:val="00CA37B0"/>
    <w:rsid w:val="00CA5151"/>
    <w:rsid w:val="00CB1A53"/>
    <w:rsid w:val="00CB43DE"/>
    <w:rsid w:val="00CD619B"/>
    <w:rsid w:val="00CD6D75"/>
    <w:rsid w:val="00CF62AB"/>
    <w:rsid w:val="00CF6FB6"/>
    <w:rsid w:val="00D0091C"/>
    <w:rsid w:val="00D0691C"/>
    <w:rsid w:val="00D21053"/>
    <w:rsid w:val="00D21B5A"/>
    <w:rsid w:val="00D24F38"/>
    <w:rsid w:val="00D27EB9"/>
    <w:rsid w:val="00D311BD"/>
    <w:rsid w:val="00D33A0E"/>
    <w:rsid w:val="00D47E3A"/>
    <w:rsid w:val="00D51ADA"/>
    <w:rsid w:val="00D62184"/>
    <w:rsid w:val="00D66893"/>
    <w:rsid w:val="00D744E0"/>
    <w:rsid w:val="00D75CAD"/>
    <w:rsid w:val="00D93652"/>
    <w:rsid w:val="00D93D38"/>
    <w:rsid w:val="00DA3B0E"/>
    <w:rsid w:val="00DB1BB0"/>
    <w:rsid w:val="00DB1F7D"/>
    <w:rsid w:val="00DB397C"/>
    <w:rsid w:val="00DB7597"/>
    <w:rsid w:val="00DC5679"/>
    <w:rsid w:val="00DC68F8"/>
    <w:rsid w:val="00DC6F91"/>
    <w:rsid w:val="00DD1D56"/>
    <w:rsid w:val="00DD3347"/>
    <w:rsid w:val="00DD4C7D"/>
    <w:rsid w:val="00DE00B5"/>
    <w:rsid w:val="00DE10EA"/>
    <w:rsid w:val="00DE6B7F"/>
    <w:rsid w:val="00DF0D68"/>
    <w:rsid w:val="00DF3D95"/>
    <w:rsid w:val="00DF453A"/>
    <w:rsid w:val="00DF6303"/>
    <w:rsid w:val="00E002D5"/>
    <w:rsid w:val="00E0296B"/>
    <w:rsid w:val="00E03CBE"/>
    <w:rsid w:val="00E0515A"/>
    <w:rsid w:val="00E07733"/>
    <w:rsid w:val="00E12C6B"/>
    <w:rsid w:val="00E16884"/>
    <w:rsid w:val="00E22556"/>
    <w:rsid w:val="00E22920"/>
    <w:rsid w:val="00E247F4"/>
    <w:rsid w:val="00E31ECD"/>
    <w:rsid w:val="00E33364"/>
    <w:rsid w:val="00E40013"/>
    <w:rsid w:val="00E535C8"/>
    <w:rsid w:val="00E6628E"/>
    <w:rsid w:val="00E7072A"/>
    <w:rsid w:val="00E712CC"/>
    <w:rsid w:val="00E82213"/>
    <w:rsid w:val="00E84B91"/>
    <w:rsid w:val="00E866AF"/>
    <w:rsid w:val="00E86FFC"/>
    <w:rsid w:val="00E8796C"/>
    <w:rsid w:val="00E87E9A"/>
    <w:rsid w:val="00E91E0C"/>
    <w:rsid w:val="00E945CB"/>
    <w:rsid w:val="00EA031D"/>
    <w:rsid w:val="00EA667D"/>
    <w:rsid w:val="00EA674A"/>
    <w:rsid w:val="00EA6993"/>
    <w:rsid w:val="00EB11A6"/>
    <w:rsid w:val="00EB14CA"/>
    <w:rsid w:val="00EB714A"/>
    <w:rsid w:val="00ED1A37"/>
    <w:rsid w:val="00ED31BC"/>
    <w:rsid w:val="00ED7EE2"/>
    <w:rsid w:val="00EE6185"/>
    <w:rsid w:val="00EE6A3C"/>
    <w:rsid w:val="00EE704F"/>
    <w:rsid w:val="00EF3E17"/>
    <w:rsid w:val="00EF4331"/>
    <w:rsid w:val="00EF64DD"/>
    <w:rsid w:val="00F0253D"/>
    <w:rsid w:val="00F06B76"/>
    <w:rsid w:val="00F13D1A"/>
    <w:rsid w:val="00F17B03"/>
    <w:rsid w:val="00F20CDF"/>
    <w:rsid w:val="00F23CE2"/>
    <w:rsid w:val="00F26FF5"/>
    <w:rsid w:val="00F27FB9"/>
    <w:rsid w:val="00F345AF"/>
    <w:rsid w:val="00F407E5"/>
    <w:rsid w:val="00F434DF"/>
    <w:rsid w:val="00F50D8C"/>
    <w:rsid w:val="00F567DA"/>
    <w:rsid w:val="00F65717"/>
    <w:rsid w:val="00F77F07"/>
    <w:rsid w:val="00F805BC"/>
    <w:rsid w:val="00F8372E"/>
    <w:rsid w:val="00F8374E"/>
    <w:rsid w:val="00F91124"/>
    <w:rsid w:val="00F91E4D"/>
    <w:rsid w:val="00FA33BF"/>
    <w:rsid w:val="00FA4139"/>
    <w:rsid w:val="00FA6EFB"/>
    <w:rsid w:val="00FC048C"/>
    <w:rsid w:val="00FC065C"/>
    <w:rsid w:val="00FD0686"/>
    <w:rsid w:val="00FD45AD"/>
    <w:rsid w:val="00FF0BDB"/>
    <w:rsid w:val="00FF2DDF"/>
    <w:rsid w:val="00FF6E38"/>
    <w:rsid w:val="0182524D"/>
    <w:rsid w:val="02A14397"/>
    <w:rsid w:val="031F2043"/>
    <w:rsid w:val="046425C9"/>
    <w:rsid w:val="05A87082"/>
    <w:rsid w:val="07824A87"/>
    <w:rsid w:val="098307E8"/>
    <w:rsid w:val="09B93488"/>
    <w:rsid w:val="0AE977B2"/>
    <w:rsid w:val="0B226B74"/>
    <w:rsid w:val="0B2B4ACB"/>
    <w:rsid w:val="0B4F3F5B"/>
    <w:rsid w:val="0C2D57D1"/>
    <w:rsid w:val="0C7D40B3"/>
    <w:rsid w:val="0C8D2BC0"/>
    <w:rsid w:val="0CA62243"/>
    <w:rsid w:val="0D1F29DE"/>
    <w:rsid w:val="0E163201"/>
    <w:rsid w:val="0E5D0883"/>
    <w:rsid w:val="0EB465BD"/>
    <w:rsid w:val="100C3750"/>
    <w:rsid w:val="10FA6AD3"/>
    <w:rsid w:val="1246139A"/>
    <w:rsid w:val="1263374A"/>
    <w:rsid w:val="12811F58"/>
    <w:rsid w:val="13114B60"/>
    <w:rsid w:val="148D7B26"/>
    <w:rsid w:val="149208C7"/>
    <w:rsid w:val="15532609"/>
    <w:rsid w:val="15657D89"/>
    <w:rsid w:val="15F555B1"/>
    <w:rsid w:val="161C14DA"/>
    <w:rsid w:val="161C7FDC"/>
    <w:rsid w:val="16A4147B"/>
    <w:rsid w:val="16B9038D"/>
    <w:rsid w:val="16B92E97"/>
    <w:rsid w:val="17E3175C"/>
    <w:rsid w:val="191535DE"/>
    <w:rsid w:val="1AB743E1"/>
    <w:rsid w:val="1AC33026"/>
    <w:rsid w:val="1BB36443"/>
    <w:rsid w:val="1BED2887"/>
    <w:rsid w:val="1CB13165"/>
    <w:rsid w:val="1D4961E3"/>
    <w:rsid w:val="1D5726AE"/>
    <w:rsid w:val="1DCF3350"/>
    <w:rsid w:val="1EFD2558"/>
    <w:rsid w:val="1F6D440A"/>
    <w:rsid w:val="1FA45952"/>
    <w:rsid w:val="20FF28F5"/>
    <w:rsid w:val="21630A8B"/>
    <w:rsid w:val="22140B6D"/>
    <w:rsid w:val="225B3B4D"/>
    <w:rsid w:val="22770124"/>
    <w:rsid w:val="22AF5377"/>
    <w:rsid w:val="25BA1A2C"/>
    <w:rsid w:val="277364A4"/>
    <w:rsid w:val="277416EF"/>
    <w:rsid w:val="27FF5E1C"/>
    <w:rsid w:val="29D07ECD"/>
    <w:rsid w:val="2CC118F2"/>
    <w:rsid w:val="2F4977C0"/>
    <w:rsid w:val="2FF3270A"/>
    <w:rsid w:val="301D46E4"/>
    <w:rsid w:val="30B57A12"/>
    <w:rsid w:val="30EF2A08"/>
    <w:rsid w:val="327565D4"/>
    <w:rsid w:val="3333106F"/>
    <w:rsid w:val="335214F5"/>
    <w:rsid w:val="33A75631"/>
    <w:rsid w:val="36B424C7"/>
    <w:rsid w:val="36C11CED"/>
    <w:rsid w:val="37135440"/>
    <w:rsid w:val="38FB262F"/>
    <w:rsid w:val="3C7632AA"/>
    <w:rsid w:val="3CAF5C0A"/>
    <w:rsid w:val="3CBB45AF"/>
    <w:rsid w:val="3D4D2D2E"/>
    <w:rsid w:val="3D9B6D2A"/>
    <w:rsid w:val="3FA246E0"/>
    <w:rsid w:val="40363F4D"/>
    <w:rsid w:val="40784B05"/>
    <w:rsid w:val="41BD2B78"/>
    <w:rsid w:val="42B15B0D"/>
    <w:rsid w:val="43243AB5"/>
    <w:rsid w:val="43284021"/>
    <w:rsid w:val="43312036"/>
    <w:rsid w:val="43C3108C"/>
    <w:rsid w:val="445F3A72"/>
    <w:rsid w:val="447C7CC1"/>
    <w:rsid w:val="44A744A4"/>
    <w:rsid w:val="44EA00ED"/>
    <w:rsid w:val="45A100BA"/>
    <w:rsid w:val="45AB5FD0"/>
    <w:rsid w:val="45AE1246"/>
    <w:rsid w:val="46511E8A"/>
    <w:rsid w:val="46911EDD"/>
    <w:rsid w:val="47A155C0"/>
    <w:rsid w:val="4872763D"/>
    <w:rsid w:val="49F40337"/>
    <w:rsid w:val="4AB60A35"/>
    <w:rsid w:val="4BDD72AD"/>
    <w:rsid w:val="4C6331DD"/>
    <w:rsid w:val="4DA70238"/>
    <w:rsid w:val="50AF0E99"/>
    <w:rsid w:val="51351F91"/>
    <w:rsid w:val="51724468"/>
    <w:rsid w:val="52E76FFD"/>
    <w:rsid w:val="539D11A0"/>
    <w:rsid w:val="53AA44C3"/>
    <w:rsid w:val="553E5926"/>
    <w:rsid w:val="565A65BB"/>
    <w:rsid w:val="573240C8"/>
    <w:rsid w:val="57A113C2"/>
    <w:rsid w:val="589866DF"/>
    <w:rsid w:val="59FB5FD3"/>
    <w:rsid w:val="5B0F5D9A"/>
    <w:rsid w:val="5B6A1223"/>
    <w:rsid w:val="5C104999"/>
    <w:rsid w:val="5CC11F40"/>
    <w:rsid w:val="5D8B722E"/>
    <w:rsid w:val="5EB461E2"/>
    <w:rsid w:val="61581B1D"/>
    <w:rsid w:val="616F22E1"/>
    <w:rsid w:val="622C4C1A"/>
    <w:rsid w:val="627D78AD"/>
    <w:rsid w:val="629A06F8"/>
    <w:rsid w:val="62B32BCD"/>
    <w:rsid w:val="63C143B7"/>
    <w:rsid w:val="64557BF6"/>
    <w:rsid w:val="66D22B65"/>
    <w:rsid w:val="67351C14"/>
    <w:rsid w:val="67B13585"/>
    <w:rsid w:val="67DC4536"/>
    <w:rsid w:val="69CF04A1"/>
    <w:rsid w:val="6A731DD6"/>
    <w:rsid w:val="6B506866"/>
    <w:rsid w:val="6BA41FF0"/>
    <w:rsid w:val="6BC6636D"/>
    <w:rsid w:val="6E6638E3"/>
    <w:rsid w:val="6F0D03EB"/>
    <w:rsid w:val="714D2D21"/>
    <w:rsid w:val="722A3E73"/>
    <w:rsid w:val="751468FE"/>
    <w:rsid w:val="75F25C45"/>
    <w:rsid w:val="761B2932"/>
    <w:rsid w:val="76606E74"/>
    <w:rsid w:val="76B64DFB"/>
    <w:rsid w:val="7740794B"/>
    <w:rsid w:val="790C24EC"/>
    <w:rsid w:val="7AD71133"/>
    <w:rsid w:val="7C3E2B9C"/>
    <w:rsid w:val="7C8C3C18"/>
    <w:rsid w:val="7CFB49C2"/>
    <w:rsid w:val="7D0E12A8"/>
    <w:rsid w:val="7E183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37"/>
    <w:qFormat/>
    <w:uiPriority w:val="9"/>
    <w:pPr>
      <w:keepNext/>
      <w:keepLines/>
      <w:spacing w:line="600" w:lineRule="auto"/>
    </w:pPr>
    <w:rPr>
      <w:kern w:val="44"/>
      <w:sz w:val="44"/>
      <w:szCs w:val="44"/>
    </w:rPr>
  </w:style>
  <w:style w:type="paragraph" w:styleId="4">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3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10"/>
    <w:pPr>
      <w:spacing w:before="240" w:after="60"/>
      <w:jc w:val="center"/>
      <w:outlineLvl w:val="0"/>
    </w:pPr>
    <w:rPr>
      <w:rFonts w:ascii="Cambria" w:hAnsi="Cambria"/>
      <w:b/>
      <w:bCs/>
      <w:sz w:val="32"/>
      <w:szCs w:val="32"/>
    </w:rPr>
  </w:style>
  <w:style w:type="paragraph" w:styleId="7">
    <w:name w:val="annotation text"/>
    <w:basedOn w:val="1"/>
    <w:link w:val="41"/>
    <w:qFormat/>
    <w:uiPriority w:val="0"/>
    <w:pPr>
      <w:jc w:val="left"/>
    </w:pPr>
    <w:rPr>
      <w:rFonts w:ascii="Calibri" w:hAnsi="Calibri"/>
      <w:szCs w:val="22"/>
    </w:rPr>
  </w:style>
  <w:style w:type="paragraph" w:styleId="8">
    <w:name w:val="Body Text"/>
    <w:basedOn w:val="1"/>
    <w:link w:val="35"/>
    <w:semiHidden/>
    <w:unhideWhenUsed/>
    <w:qFormat/>
    <w:uiPriority w:val="99"/>
    <w:pPr>
      <w:spacing w:after="120"/>
    </w:pPr>
  </w:style>
  <w:style w:type="paragraph" w:styleId="9">
    <w:name w:val="Body Text Indent"/>
    <w:basedOn w:val="1"/>
    <w:next w:val="10"/>
    <w:qFormat/>
    <w:uiPriority w:val="0"/>
    <w:pPr>
      <w:spacing w:after="120"/>
      <w:ind w:left="420" w:leftChars="200"/>
    </w:pPr>
  </w:style>
  <w:style w:type="paragraph" w:styleId="10">
    <w:name w:val="envelope return"/>
    <w:basedOn w:val="1"/>
    <w:qFormat/>
    <w:uiPriority w:val="0"/>
    <w:pPr>
      <w:snapToGrid w:val="0"/>
    </w:pPr>
    <w:rPr>
      <w:rFonts w:ascii="Arial" w:hAnsi="Arial"/>
    </w:rPr>
  </w:style>
  <w:style w:type="paragraph" w:styleId="11">
    <w:name w:val="Plain Text"/>
    <w:basedOn w:val="1"/>
    <w:next w:val="2"/>
    <w:qFormat/>
    <w:uiPriority w:val="0"/>
    <w:rPr>
      <w:rFonts w:ascii="宋体" w:hAnsi="Courier New"/>
      <w:kern w:val="0"/>
      <w:sz w:val="20"/>
      <w:szCs w:val="21"/>
    </w:rPr>
  </w:style>
  <w:style w:type="paragraph" w:styleId="12">
    <w:name w:val="Date"/>
    <w:basedOn w:val="1"/>
    <w:next w:val="1"/>
    <w:link w:val="96"/>
    <w:qFormat/>
    <w:uiPriority w:val="0"/>
    <w:rPr>
      <w:sz w:val="28"/>
      <w:szCs w:val="20"/>
    </w:rPr>
  </w:style>
  <w:style w:type="paragraph" w:styleId="13">
    <w:name w:val="Balloon Text"/>
    <w:basedOn w:val="1"/>
    <w:link w:val="95"/>
    <w:semiHidden/>
    <w:unhideWhenUsed/>
    <w:qFormat/>
    <w:uiPriority w:val="99"/>
    <w:rPr>
      <w:sz w:val="18"/>
      <w:szCs w:val="18"/>
    </w:rPr>
  </w:style>
  <w:style w:type="paragraph" w:styleId="14">
    <w:name w:val="footer"/>
    <w:basedOn w:val="1"/>
    <w:link w:val="34"/>
    <w:unhideWhenUsed/>
    <w:qFormat/>
    <w:uiPriority w:val="99"/>
    <w:pPr>
      <w:tabs>
        <w:tab w:val="center" w:pos="4153"/>
        <w:tab w:val="right" w:pos="8306"/>
      </w:tabs>
      <w:snapToGrid w:val="0"/>
      <w:jc w:val="left"/>
    </w:pPr>
    <w:rPr>
      <w:sz w:val="18"/>
      <w:szCs w:val="18"/>
    </w:rPr>
  </w:style>
  <w:style w:type="paragraph" w:styleId="15">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9344"/>
      </w:tabs>
      <w:spacing w:line="480" w:lineRule="auto"/>
    </w:pPr>
  </w:style>
  <w:style w:type="paragraph" w:styleId="17">
    <w:name w:val="toc 2"/>
    <w:basedOn w:val="1"/>
    <w:next w:val="1"/>
    <w:unhideWhenUsed/>
    <w:qFormat/>
    <w:uiPriority w:val="39"/>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w:basedOn w:val="8"/>
    <w:link w:val="36"/>
    <w:semiHidden/>
    <w:unhideWhenUsed/>
    <w:qFormat/>
    <w:uiPriority w:val="99"/>
    <w:pPr>
      <w:ind w:firstLine="420" w:firstLineChars="100"/>
    </w:pPr>
  </w:style>
  <w:style w:type="paragraph" w:styleId="20">
    <w:name w:val="Body Text First Indent 2"/>
    <w:basedOn w:val="9"/>
    <w:qFormat/>
    <w:uiPriority w:val="0"/>
    <w:pPr>
      <w:ind w:firstLine="420" w:firstLineChars="200"/>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FollowedHyperlink"/>
    <w:basedOn w:val="23"/>
    <w:semiHidden/>
    <w:unhideWhenUsed/>
    <w:qFormat/>
    <w:uiPriority w:val="99"/>
    <w:rPr>
      <w:color w:val="1F3149"/>
      <w:u w:val="none"/>
    </w:rPr>
  </w:style>
  <w:style w:type="character" w:styleId="26">
    <w:name w:val="HTML Definition"/>
    <w:basedOn w:val="23"/>
    <w:semiHidden/>
    <w:unhideWhenUsed/>
    <w:qFormat/>
    <w:uiPriority w:val="99"/>
    <w:rPr>
      <w:i/>
      <w:iCs/>
    </w:rPr>
  </w:style>
  <w:style w:type="character" w:styleId="27">
    <w:name w:val="Hyperlink"/>
    <w:basedOn w:val="23"/>
    <w:unhideWhenUsed/>
    <w:qFormat/>
    <w:uiPriority w:val="99"/>
    <w:rPr>
      <w:color w:val="0563C1" w:themeColor="hyperlink"/>
      <w:u w:val="single"/>
      <w14:textFill>
        <w14:solidFill>
          <w14:schemeClr w14:val="hlink"/>
        </w14:solidFill>
      </w14:textFill>
    </w:rPr>
  </w:style>
  <w:style w:type="character" w:styleId="28">
    <w:name w:val="HTML Code"/>
    <w:basedOn w:val="23"/>
    <w:semiHidden/>
    <w:unhideWhenUsed/>
    <w:qFormat/>
    <w:uiPriority w:val="99"/>
    <w:rPr>
      <w:rFonts w:hint="default" w:ascii="Consolas" w:hAnsi="Consolas" w:eastAsia="Consolas" w:cs="Consolas"/>
      <w:color w:val="C7254E"/>
      <w:sz w:val="21"/>
      <w:szCs w:val="21"/>
      <w:shd w:val="clear" w:color="auto" w:fill="F9F2F4"/>
    </w:rPr>
  </w:style>
  <w:style w:type="character" w:styleId="29">
    <w:name w:val="HTML Keyboard"/>
    <w:basedOn w:val="23"/>
    <w:semiHidden/>
    <w:unhideWhenUsed/>
    <w:qFormat/>
    <w:uiPriority w:val="99"/>
    <w:rPr>
      <w:rFonts w:ascii="Consolas" w:hAnsi="Consolas" w:eastAsia="Consolas" w:cs="Consolas"/>
      <w:color w:val="FFFFFF"/>
      <w:sz w:val="21"/>
      <w:szCs w:val="21"/>
      <w:shd w:val="clear" w:color="auto" w:fill="333333"/>
    </w:rPr>
  </w:style>
  <w:style w:type="character" w:styleId="30">
    <w:name w:val="HTML Sample"/>
    <w:basedOn w:val="23"/>
    <w:semiHidden/>
    <w:unhideWhenUsed/>
    <w:qFormat/>
    <w:uiPriority w:val="99"/>
    <w:rPr>
      <w:rFonts w:hint="default" w:ascii="Consolas" w:hAnsi="Consolas" w:eastAsia="Consolas" w:cs="Consolas"/>
      <w:sz w:val="21"/>
      <w:szCs w:val="21"/>
    </w:rPr>
  </w:style>
  <w:style w:type="paragraph" w:customStyle="1" w:styleId="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2">
    <w:name w:val="段"/>
    <w:next w:val="1"/>
    <w:qFormat/>
    <w:uiPriority w:val="0"/>
    <w:pPr>
      <w:autoSpaceDE w:val="0"/>
      <w:autoSpaceDN w:val="0"/>
      <w:ind w:firstLine="200" w:firstLineChars="200"/>
      <w:jc w:val="both"/>
    </w:pPr>
    <w:rPr>
      <w:rFonts w:ascii="宋体" w:hAnsi="Calibri" w:eastAsia="Times New Roman" w:cs="Times New Roman"/>
      <w:sz w:val="21"/>
      <w:lang w:val="en-US" w:eastAsia="zh-CN" w:bidi="ar-SA"/>
    </w:rPr>
  </w:style>
  <w:style w:type="character" w:customStyle="1" w:styleId="33">
    <w:name w:val="页眉 字符"/>
    <w:basedOn w:val="23"/>
    <w:link w:val="15"/>
    <w:qFormat/>
    <w:uiPriority w:val="99"/>
    <w:rPr>
      <w:sz w:val="18"/>
      <w:szCs w:val="18"/>
    </w:rPr>
  </w:style>
  <w:style w:type="character" w:customStyle="1" w:styleId="34">
    <w:name w:val="页脚 字符"/>
    <w:basedOn w:val="23"/>
    <w:link w:val="14"/>
    <w:qFormat/>
    <w:uiPriority w:val="99"/>
    <w:rPr>
      <w:sz w:val="18"/>
      <w:szCs w:val="18"/>
    </w:rPr>
  </w:style>
  <w:style w:type="character" w:customStyle="1" w:styleId="35">
    <w:name w:val="正文文本 字符"/>
    <w:basedOn w:val="23"/>
    <w:link w:val="8"/>
    <w:semiHidden/>
    <w:qFormat/>
    <w:uiPriority w:val="99"/>
    <w:rPr>
      <w:rFonts w:ascii="Times New Roman" w:hAnsi="Times New Roman" w:eastAsia="宋体" w:cs="Times New Roman"/>
      <w:szCs w:val="24"/>
    </w:rPr>
  </w:style>
  <w:style w:type="character" w:customStyle="1" w:styleId="36">
    <w:name w:val="正文文本首行缩进 字符"/>
    <w:basedOn w:val="35"/>
    <w:link w:val="19"/>
    <w:semiHidden/>
    <w:qFormat/>
    <w:uiPriority w:val="99"/>
    <w:rPr>
      <w:rFonts w:ascii="Times New Roman" w:hAnsi="Times New Roman" w:eastAsia="宋体" w:cs="Times New Roman"/>
      <w:szCs w:val="24"/>
    </w:rPr>
  </w:style>
  <w:style w:type="character" w:customStyle="1" w:styleId="37">
    <w:name w:val="标题 1 字符"/>
    <w:basedOn w:val="23"/>
    <w:link w:val="2"/>
    <w:qFormat/>
    <w:uiPriority w:val="9"/>
    <w:rPr>
      <w:rFonts w:ascii="Times New Roman" w:hAnsi="Times New Roman" w:eastAsia="宋体" w:cs="Times New Roman"/>
      <w:b/>
      <w:bCs/>
      <w:kern w:val="44"/>
      <w:sz w:val="44"/>
      <w:szCs w:val="44"/>
    </w:rPr>
  </w:style>
  <w:style w:type="character" w:customStyle="1" w:styleId="38">
    <w:name w:val="标题 3 字符"/>
    <w:basedOn w:val="23"/>
    <w:link w:val="5"/>
    <w:semiHidden/>
    <w:qFormat/>
    <w:uiPriority w:val="9"/>
    <w:rPr>
      <w:rFonts w:ascii="Times New Roman" w:hAnsi="Times New Roman" w:eastAsia="宋体" w:cs="Times New Roman"/>
      <w:b/>
      <w:bCs/>
      <w:sz w:val="32"/>
      <w:szCs w:val="32"/>
    </w:rPr>
  </w:style>
  <w:style w:type="character" w:customStyle="1" w:styleId="39">
    <w:name w:val="标题 4 字符"/>
    <w:basedOn w:val="23"/>
    <w:link w:val="6"/>
    <w:semiHidden/>
    <w:qFormat/>
    <w:uiPriority w:val="9"/>
    <w:rPr>
      <w:rFonts w:asciiTheme="majorHAnsi" w:hAnsiTheme="majorHAnsi" w:eastAsiaTheme="majorEastAsia" w:cstheme="majorBidi"/>
      <w:b/>
      <w:bCs/>
      <w:sz w:val="28"/>
      <w:szCs w:val="28"/>
    </w:rPr>
  </w:style>
  <w:style w:type="character" w:customStyle="1" w:styleId="40">
    <w:name w:val="标题 2 字符"/>
    <w:basedOn w:val="23"/>
    <w:link w:val="4"/>
    <w:qFormat/>
    <w:uiPriority w:val="9"/>
    <w:rPr>
      <w:rFonts w:asciiTheme="majorHAnsi" w:hAnsiTheme="majorHAnsi" w:eastAsiaTheme="majorEastAsia" w:cstheme="majorBidi"/>
      <w:b/>
      <w:bCs/>
      <w:sz w:val="32"/>
      <w:szCs w:val="32"/>
    </w:rPr>
  </w:style>
  <w:style w:type="character" w:customStyle="1" w:styleId="41">
    <w:name w:val="批注文字 字符"/>
    <w:basedOn w:val="23"/>
    <w:link w:val="7"/>
    <w:qFormat/>
    <w:uiPriority w:val="0"/>
    <w:rPr>
      <w:rFonts w:ascii="Calibri" w:hAnsi="Calibri" w:eastAsia="宋体" w:cs="Times New Roman"/>
    </w:rPr>
  </w:style>
  <w:style w:type="paragraph" w:customStyle="1" w:styleId="42">
    <w:name w:val="Body text|3"/>
    <w:basedOn w:val="1"/>
    <w:qFormat/>
    <w:uiPriority w:val="0"/>
    <w:pPr>
      <w:spacing w:after="240"/>
      <w:jc w:val="center"/>
    </w:pPr>
    <w:rPr>
      <w:rFonts w:ascii="宋体" w:hAnsi="宋体" w:cs="宋体"/>
      <w:sz w:val="40"/>
      <w:szCs w:val="40"/>
      <w:lang w:val="zh-TW" w:eastAsia="zh-TW" w:bidi="zh-TW"/>
    </w:rPr>
  </w:style>
  <w:style w:type="character" w:customStyle="1" w:styleId="43">
    <w:name w:val="未处理的提及1"/>
    <w:basedOn w:val="23"/>
    <w:semiHidden/>
    <w:unhideWhenUsed/>
    <w:qFormat/>
    <w:uiPriority w:val="99"/>
    <w:rPr>
      <w:color w:val="605E5C"/>
      <w:shd w:val="clear" w:color="auto" w:fill="E1DFDD"/>
    </w:rPr>
  </w:style>
  <w:style w:type="character" w:customStyle="1" w:styleId="44">
    <w:name w:val="未处理的提及2"/>
    <w:basedOn w:val="23"/>
    <w:semiHidden/>
    <w:unhideWhenUsed/>
    <w:qFormat/>
    <w:uiPriority w:val="99"/>
    <w:rPr>
      <w:color w:val="605E5C"/>
      <w:shd w:val="clear" w:color="auto" w:fill="E1DFDD"/>
    </w:rPr>
  </w:style>
  <w:style w:type="character" w:customStyle="1" w:styleId="45">
    <w:name w:val="未处理的提及3"/>
    <w:basedOn w:val="23"/>
    <w:semiHidden/>
    <w:unhideWhenUsed/>
    <w:qFormat/>
    <w:uiPriority w:val="99"/>
    <w:rPr>
      <w:color w:val="605E5C"/>
      <w:shd w:val="clear" w:color="auto" w:fill="E1DFDD"/>
    </w:rPr>
  </w:style>
  <w:style w:type="table" w:customStyle="1" w:styleId="46">
    <w:name w:val="网格型1"/>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color-yellow"/>
    <w:basedOn w:val="23"/>
    <w:qFormat/>
    <w:uiPriority w:val="0"/>
    <w:rPr>
      <w:color w:val="FAAD14"/>
      <w:sz w:val="18"/>
      <w:szCs w:val="18"/>
      <w:bdr w:val="single" w:color="FAAD14" w:sz="6" w:space="0"/>
    </w:rPr>
  </w:style>
  <w:style w:type="character" w:customStyle="1" w:styleId="48">
    <w:name w:val="color-yellow1"/>
    <w:basedOn w:val="23"/>
    <w:qFormat/>
    <w:uiPriority w:val="0"/>
    <w:rPr>
      <w:color w:val="FAAD14"/>
      <w:sz w:val="18"/>
      <w:szCs w:val="18"/>
      <w:bdr w:val="single" w:color="FAAD14" w:sz="6" w:space="0"/>
    </w:rPr>
  </w:style>
  <w:style w:type="character" w:customStyle="1" w:styleId="49">
    <w:name w:val="icon_xglc"/>
    <w:basedOn w:val="23"/>
    <w:qFormat/>
    <w:uiPriority w:val="0"/>
  </w:style>
  <w:style w:type="character" w:customStyle="1" w:styleId="50">
    <w:name w:val="l_6"/>
    <w:basedOn w:val="23"/>
    <w:qFormat/>
    <w:uiPriority w:val="0"/>
  </w:style>
  <w:style w:type="character" w:customStyle="1" w:styleId="51">
    <w:name w:val="l_13"/>
    <w:basedOn w:val="23"/>
    <w:qFormat/>
    <w:uiPriority w:val="0"/>
  </w:style>
  <w:style w:type="character" w:customStyle="1" w:styleId="52">
    <w:name w:val="m-text"/>
    <w:basedOn w:val="23"/>
    <w:qFormat/>
    <w:uiPriority w:val="0"/>
  </w:style>
  <w:style w:type="character" w:customStyle="1" w:styleId="53">
    <w:name w:val="l_14"/>
    <w:basedOn w:val="23"/>
    <w:qFormat/>
    <w:uiPriority w:val="0"/>
  </w:style>
  <w:style w:type="character" w:customStyle="1" w:styleId="54">
    <w:name w:val="l_10"/>
    <w:basedOn w:val="23"/>
    <w:qFormat/>
    <w:uiPriority w:val="0"/>
  </w:style>
  <w:style w:type="character" w:customStyle="1" w:styleId="55">
    <w:name w:val="l_101"/>
    <w:basedOn w:val="23"/>
    <w:qFormat/>
    <w:uiPriority w:val="0"/>
  </w:style>
  <w:style w:type="character" w:customStyle="1" w:styleId="56">
    <w:name w:val="l_2"/>
    <w:basedOn w:val="23"/>
    <w:qFormat/>
    <w:uiPriority w:val="0"/>
  </w:style>
  <w:style w:type="character" w:customStyle="1" w:styleId="57">
    <w:name w:val="l_21"/>
    <w:basedOn w:val="23"/>
    <w:qFormat/>
    <w:uiPriority w:val="0"/>
  </w:style>
  <w:style w:type="character" w:customStyle="1" w:styleId="58">
    <w:name w:val="color-blue"/>
    <w:basedOn w:val="23"/>
    <w:qFormat/>
    <w:uiPriority w:val="0"/>
    <w:rPr>
      <w:color w:val="1890FF"/>
      <w:sz w:val="18"/>
      <w:szCs w:val="18"/>
      <w:bdr w:val="single" w:color="1890FF" w:sz="6" w:space="0"/>
    </w:rPr>
  </w:style>
  <w:style w:type="character" w:customStyle="1" w:styleId="59">
    <w:name w:val="icon_lzrz"/>
    <w:basedOn w:val="23"/>
    <w:qFormat/>
    <w:uiPriority w:val="0"/>
  </w:style>
  <w:style w:type="character" w:customStyle="1" w:styleId="60">
    <w:name w:val="icon_cxkcyry"/>
    <w:basedOn w:val="23"/>
    <w:qFormat/>
    <w:uiPriority w:val="0"/>
  </w:style>
  <w:style w:type="character" w:customStyle="1" w:styleId="61">
    <w:name w:val="l_0"/>
    <w:basedOn w:val="23"/>
    <w:qFormat/>
    <w:uiPriority w:val="0"/>
  </w:style>
  <w:style w:type="character" w:customStyle="1" w:styleId="62">
    <w:name w:val="l_8"/>
    <w:basedOn w:val="23"/>
    <w:qFormat/>
    <w:uiPriority w:val="0"/>
  </w:style>
  <w:style w:type="character" w:customStyle="1" w:styleId="63">
    <w:name w:val="l_81"/>
    <w:basedOn w:val="23"/>
    <w:qFormat/>
    <w:uiPriority w:val="0"/>
  </w:style>
  <w:style w:type="character" w:customStyle="1" w:styleId="64">
    <w:name w:val="color_cdyy"/>
    <w:basedOn w:val="23"/>
    <w:qFormat/>
    <w:uiPriority w:val="0"/>
    <w:rPr>
      <w:color w:val="FFFFFF"/>
      <w:bdr w:val="single" w:color="FFFFFF" w:sz="6" w:space="0"/>
    </w:rPr>
  </w:style>
  <w:style w:type="character" w:customStyle="1" w:styleId="65">
    <w:name w:val="layui-laypage-curr"/>
    <w:basedOn w:val="23"/>
    <w:qFormat/>
    <w:uiPriority w:val="0"/>
  </w:style>
  <w:style w:type="character" w:customStyle="1" w:styleId="66">
    <w:name w:val="icon_dljg"/>
    <w:basedOn w:val="23"/>
    <w:qFormat/>
    <w:uiPriority w:val="0"/>
  </w:style>
  <w:style w:type="character" w:customStyle="1" w:styleId="67">
    <w:name w:val="icon_cxktbr"/>
    <w:basedOn w:val="23"/>
    <w:qFormat/>
    <w:uiPriority w:val="0"/>
  </w:style>
  <w:style w:type="character" w:customStyle="1" w:styleId="68">
    <w:name w:val="icon_gzkj"/>
    <w:basedOn w:val="23"/>
    <w:qFormat/>
    <w:uiPriority w:val="0"/>
  </w:style>
  <w:style w:type="character" w:customStyle="1" w:styleId="69">
    <w:name w:val="l_15"/>
    <w:basedOn w:val="23"/>
    <w:qFormat/>
    <w:uiPriority w:val="0"/>
  </w:style>
  <w:style w:type="character" w:customStyle="1" w:styleId="70">
    <w:name w:val="icon_xzry"/>
    <w:basedOn w:val="23"/>
    <w:qFormat/>
    <w:uiPriority w:val="0"/>
  </w:style>
  <w:style w:type="character" w:customStyle="1" w:styleId="71">
    <w:name w:val="l_11"/>
    <w:basedOn w:val="23"/>
    <w:qFormat/>
    <w:uiPriority w:val="0"/>
  </w:style>
  <w:style w:type="character" w:customStyle="1" w:styleId="72">
    <w:name w:val="l_111"/>
    <w:basedOn w:val="23"/>
    <w:qFormat/>
    <w:uiPriority w:val="0"/>
  </w:style>
  <w:style w:type="character" w:customStyle="1" w:styleId="73">
    <w:name w:val="l_4"/>
    <w:basedOn w:val="23"/>
    <w:qFormat/>
    <w:uiPriority w:val="0"/>
  </w:style>
  <w:style w:type="character" w:customStyle="1" w:styleId="74">
    <w:name w:val="l_41"/>
    <w:basedOn w:val="23"/>
    <w:qFormat/>
    <w:uiPriority w:val="0"/>
  </w:style>
  <w:style w:type="character" w:customStyle="1" w:styleId="75">
    <w:name w:val="l_3"/>
    <w:basedOn w:val="23"/>
    <w:qFormat/>
    <w:uiPriority w:val="0"/>
  </w:style>
  <w:style w:type="character" w:customStyle="1" w:styleId="76">
    <w:name w:val="l_31"/>
    <w:basedOn w:val="23"/>
    <w:qFormat/>
    <w:uiPriority w:val="0"/>
  </w:style>
  <w:style w:type="character" w:customStyle="1" w:styleId="77">
    <w:name w:val="l_1"/>
    <w:basedOn w:val="23"/>
    <w:qFormat/>
    <w:uiPriority w:val="0"/>
  </w:style>
  <w:style w:type="character" w:customStyle="1" w:styleId="78">
    <w:name w:val="l_12"/>
    <w:basedOn w:val="23"/>
    <w:qFormat/>
    <w:uiPriority w:val="0"/>
  </w:style>
  <w:style w:type="character" w:customStyle="1" w:styleId="79">
    <w:name w:val="l_5"/>
    <w:basedOn w:val="23"/>
    <w:qFormat/>
    <w:uiPriority w:val="0"/>
  </w:style>
  <w:style w:type="character" w:customStyle="1" w:styleId="80">
    <w:name w:val="l_51"/>
    <w:basedOn w:val="23"/>
    <w:qFormat/>
    <w:uiPriority w:val="0"/>
  </w:style>
  <w:style w:type="character" w:customStyle="1" w:styleId="81">
    <w:name w:val="l_7"/>
    <w:basedOn w:val="23"/>
    <w:qFormat/>
    <w:uiPriority w:val="0"/>
  </w:style>
  <w:style w:type="character" w:customStyle="1" w:styleId="82">
    <w:name w:val="l_71"/>
    <w:basedOn w:val="23"/>
    <w:qFormat/>
    <w:uiPriority w:val="0"/>
  </w:style>
  <w:style w:type="character" w:customStyle="1" w:styleId="83">
    <w:name w:val="l_9"/>
    <w:basedOn w:val="23"/>
    <w:qFormat/>
    <w:uiPriority w:val="0"/>
  </w:style>
  <w:style w:type="character" w:customStyle="1" w:styleId="84">
    <w:name w:val="l_91"/>
    <w:basedOn w:val="23"/>
    <w:qFormat/>
    <w:uiPriority w:val="0"/>
  </w:style>
  <w:style w:type="character" w:customStyle="1" w:styleId="85">
    <w:name w:val="l_121"/>
    <w:basedOn w:val="23"/>
    <w:qFormat/>
    <w:uiPriority w:val="0"/>
  </w:style>
  <w:style w:type="character" w:customStyle="1" w:styleId="86">
    <w:name w:val="l_122"/>
    <w:basedOn w:val="23"/>
    <w:qFormat/>
    <w:uiPriority w:val="0"/>
  </w:style>
  <w:style w:type="character" w:customStyle="1" w:styleId="87">
    <w:name w:val="first-child1"/>
    <w:basedOn w:val="23"/>
    <w:qFormat/>
    <w:uiPriority w:val="0"/>
  </w:style>
  <w:style w:type="character" w:customStyle="1" w:styleId="88">
    <w:name w:val="l_131"/>
    <w:basedOn w:val="23"/>
    <w:qFormat/>
    <w:uiPriority w:val="0"/>
  </w:style>
  <w:style w:type="character" w:customStyle="1" w:styleId="89">
    <w:name w:val="l_141"/>
    <w:basedOn w:val="23"/>
    <w:qFormat/>
    <w:uiPriority w:val="0"/>
  </w:style>
  <w:style w:type="character" w:customStyle="1" w:styleId="90">
    <w:name w:val="l_151"/>
    <w:basedOn w:val="23"/>
    <w:qFormat/>
    <w:uiPriority w:val="0"/>
  </w:style>
  <w:style w:type="character" w:customStyle="1" w:styleId="91">
    <w:name w:val="l_112"/>
    <w:basedOn w:val="23"/>
    <w:qFormat/>
    <w:uiPriority w:val="0"/>
  </w:style>
  <w:style w:type="character" w:customStyle="1" w:styleId="92">
    <w:name w:val="l_01"/>
    <w:basedOn w:val="23"/>
    <w:qFormat/>
    <w:uiPriority w:val="0"/>
  </w:style>
  <w:style w:type="character" w:customStyle="1" w:styleId="93">
    <w:name w:val="l_61"/>
    <w:basedOn w:val="23"/>
    <w:qFormat/>
    <w:uiPriority w:val="0"/>
  </w:style>
  <w:style w:type="character" w:customStyle="1" w:styleId="94">
    <w:name w:val="l_132"/>
    <w:basedOn w:val="23"/>
    <w:qFormat/>
    <w:uiPriority w:val="0"/>
  </w:style>
  <w:style w:type="character" w:customStyle="1" w:styleId="95">
    <w:name w:val="批注框文本 字符"/>
    <w:basedOn w:val="23"/>
    <w:link w:val="13"/>
    <w:semiHidden/>
    <w:qFormat/>
    <w:uiPriority w:val="99"/>
    <w:rPr>
      <w:kern w:val="2"/>
      <w:sz w:val="18"/>
      <w:szCs w:val="18"/>
    </w:rPr>
  </w:style>
  <w:style w:type="character" w:customStyle="1" w:styleId="96">
    <w:name w:val="日期 字符"/>
    <w:basedOn w:val="23"/>
    <w:link w:val="12"/>
    <w:qFormat/>
    <w:uiPriority w:val="0"/>
    <w:rPr>
      <w:kern w:val="2"/>
      <w:sz w:val="28"/>
    </w:rPr>
  </w:style>
  <w:style w:type="paragraph" w:customStyle="1" w:styleId="97">
    <w:name w:val="*正文"/>
    <w:basedOn w:val="1"/>
    <w:qFormat/>
    <w:uiPriority w:val="0"/>
    <w:pPr>
      <w:keepNext/>
      <w:keepLines/>
      <w:spacing w:line="360" w:lineRule="auto"/>
      <w:ind w:firstLine="200" w:firstLineChars="200"/>
    </w:pPr>
    <w:rPr>
      <w:rFonts w:ascii="宋体" w:hAnsi="宋体"/>
    </w:rPr>
  </w:style>
  <w:style w:type="paragraph" w:customStyle="1" w:styleId="98">
    <w:name w:val="Table Paragraph"/>
    <w:basedOn w:val="1"/>
    <w:qFormat/>
    <w:uiPriority w:val="1"/>
    <w:rPr>
      <w:rFonts w:ascii="宋体" w:hAnsi="宋体" w:cs="宋体"/>
      <w:lang w:val="zh-CN" w:bidi="zh-CN"/>
    </w:rPr>
  </w:style>
  <w:style w:type="paragraph" w:customStyle="1" w:styleId="99">
    <w:name w:val="文档正文"/>
    <w:basedOn w:val="1"/>
    <w:qFormat/>
    <w:uiPriority w:val="0"/>
    <w:pPr>
      <w:adjustRightInd w:val="0"/>
      <w:spacing w:line="480" w:lineRule="atLeast"/>
      <w:ind w:firstLine="567"/>
      <w:textAlignment w:val="baseline"/>
    </w:pPr>
    <w:rPr>
      <w:rFonts w:ascii="仿宋_GB2312" w:eastAsia="仿宋_GB2312" w:cs="仿宋_GB2312"/>
      <w:kern w:val="0"/>
      <w:sz w:val="28"/>
      <w:szCs w:val="28"/>
    </w:rPr>
  </w:style>
  <w:style w:type="paragraph" w:customStyle="1" w:styleId="100">
    <w:name w:val="方案正文"/>
    <w:basedOn w:val="1"/>
    <w:qFormat/>
    <w:uiPriority w:val="0"/>
    <w:pPr>
      <w:ind w:firstLine="560" w:firstLineChars="200"/>
    </w:pPr>
    <w:rPr>
      <w:rFonts w:ascii="宋体" w:hAnsi="宋体"/>
      <w:color w:val="000000"/>
      <w:kern w:val="28"/>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57</Pages>
  <Words>10499</Words>
  <Characters>11231</Characters>
  <Lines>274</Lines>
  <Paragraphs>77</Paragraphs>
  <TotalTime>10</TotalTime>
  <ScaleCrop>false</ScaleCrop>
  <LinksUpToDate>false</LinksUpToDate>
  <CharactersWithSpaces>11304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2022-11-17T06:14:00Z</dcterms:created>
  <dc:creator>Admin</dc:creator>
  <cp:lastModifiedBy>欢欢</cp:lastModifiedBy>
  <cp:lastPrinted>2026-08-07T04:45:00Z</cp:lastPrinted>
  <dcterms:modified xsi:type="dcterms:W3CDTF">2026-08-18T02:22:13Z</dcterms:modified>
  <cp:revision>557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533DA16163B64BCB871F9D72D42AA460_13</vt:lpwstr>
  </property>
  <property fmtid="{D5CDD505-2E9C-101B-9397-08002B2CF9AE}" pid="4" name="KSOTemplateDocerSaveRecord">
    <vt:lpwstr>eyJoZGlkIjoiODM0YzQzMGFjMjUzMGYwODMwZjhmZTEzMTA0N2U0NTciLCJ1c2VySWQiOiI3NTA5MDk3NDcifQ==</vt:lpwstr>
  </property>
</Properties>
</file>