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69FB740">
      <w:pPr>
        <w:spacing w:line="480" w:lineRule="auto"/>
        <w:jc w:val="center"/>
        <w:rPr>
          <w:rFonts w:hint="eastAsia" w:ascii="楷体" w:hAnsi="楷体" w:eastAsia="楷体" w:cs="华文仿宋"/>
          <w:b/>
          <w:bCs/>
          <w:sz w:val="52"/>
          <w:szCs w:val="52"/>
        </w:rPr>
      </w:pPr>
      <w:r>
        <w:rPr>
          <w:rFonts w:hint="eastAsia" w:ascii="楷体" w:hAnsi="楷体" w:eastAsia="楷体" w:cs="华文仿宋"/>
          <w:b/>
          <w:bCs/>
          <w:sz w:val="52"/>
          <w:szCs w:val="52"/>
        </w:rPr>
        <w:t>编制说明</w:t>
      </w:r>
    </w:p>
    <w:p w14:paraId="304EC1CD">
      <w:pPr>
        <w:jc w:val="center"/>
        <w:rPr>
          <w:rFonts w:hint="eastAsia"/>
          <w:b/>
          <w:sz w:val="21"/>
          <w:szCs w:val="21"/>
        </w:rPr>
      </w:pPr>
    </w:p>
    <w:p w14:paraId="6A69BE50">
      <w:pPr>
        <w:pStyle w:val="4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="楷体" w:hAnsi="楷体" w:eastAsia="楷体" w:cs="华文仿宋"/>
          <w:kern w:val="2"/>
          <w:sz w:val="24"/>
          <w:szCs w:val="22"/>
          <w:lang w:val="en-US" w:eastAsia="zh-CN" w:bidi="ar-SA"/>
        </w:rPr>
      </w:pPr>
      <w:r>
        <w:rPr>
          <w:rFonts w:hint="eastAsia" w:ascii="楷体" w:hAnsi="楷体" w:eastAsia="楷体" w:cs="华文仿宋"/>
          <w:sz w:val="24"/>
          <w:lang w:eastAsia="zh-CN"/>
        </w:rPr>
        <w:t>工程名称：</w:t>
      </w:r>
      <w:r>
        <w:rPr>
          <w:rFonts w:hint="eastAsia" w:ascii="楷体" w:hAnsi="楷体" w:eastAsia="楷体" w:cs="华文仿宋"/>
          <w:kern w:val="2"/>
          <w:sz w:val="24"/>
          <w:szCs w:val="22"/>
          <w:lang w:val="en-US" w:eastAsia="zh-CN" w:bidi="ar-SA"/>
        </w:rPr>
        <w:t>郑州大学后勤保障中心主校区2025年春季绿化地被植物项目</w:t>
      </w:r>
    </w:p>
    <w:tbl>
      <w:tblPr>
        <w:tblStyle w:val="6"/>
        <w:tblW w:w="940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00"/>
      </w:tblGrid>
      <w:tr w14:paraId="114FF5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34" w:hRule="atLeast"/>
        </w:trPr>
        <w:tc>
          <w:tcPr>
            <w:tcW w:w="9400" w:type="dxa"/>
          </w:tcPr>
          <w:p w14:paraId="5AB2D102">
            <w:pPr>
              <w:spacing w:line="480" w:lineRule="auto"/>
              <w:jc w:val="left"/>
              <w:rPr>
                <w:rFonts w:hint="eastAsia" w:ascii="楷体" w:hAnsi="楷体" w:eastAsia="楷体" w:cs="华文仿宋"/>
                <w:b/>
                <w:bCs/>
                <w:sz w:val="24"/>
                <w:lang w:eastAsia="zh-CN"/>
              </w:rPr>
            </w:pPr>
            <w:r>
              <w:rPr>
                <w:rFonts w:hint="eastAsia" w:ascii="楷体" w:hAnsi="楷体" w:eastAsia="楷体" w:cs="华文仿宋"/>
                <w:b/>
                <w:bCs/>
                <w:sz w:val="24"/>
                <w:lang w:eastAsia="zh-CN"/>
              </w:rPr>
              <w:t>一、工程概况</w:t>
            </w:r>
          </w:p>
          <w:p w14:paraId="78189F37">
            <w:pPr>
              <w:spacing w:line="480" w:lineRule="auto"/>
              <w:jc w:val="left"/>
              <w:rPr>
                <w:rFonts w:hint="eastAsia" w:ascii="楷体" w:hAnsi="楷体" w:eastAsia="楷体" w:cs="华文仿宋"/>
                <w:sz w:val="24"/>
                <w:lang w:eastAsia="zh-CN"/>
              </w:rPr>
            </w:pPr>
            <w:r>
              <w:rPr>
                <w:rFonts w:hint="eastAsia" w:ascii="楷体" w:hAnsi="楷体" w:eastAsia="楷体" w:cs="华文仿宋"/>
                <w:sz w:val="24"/>
                <w:lang w:eastAsia="zh-CN"/>
              </w:rPr>
              <w:t xml:space="preserve">   本工程为</w:t>
            </w:r>
            <w:r>
              <w:rPr>
                <w:rFonts w:hint="eastAsia" w:ascii="楷体" w:hAnsi="楷体" w:eastAsia="楷体" w:cs="华文仿宋"/>
                <w:kern w:val="2"/>
                <w:sz w:val="24"/>
                <w:szCs w:val="22"/>
                <w:lang w:val="en-US" w:eastAsia="zh-CN" w:bidi="ar-SA"/>
              </w:rPr>
              <w:t>郑州大学后勤保障中心主校区2025年春季绿化地被植物项目</w:t>
            </w:r>
            <w:r>
              <w:rPr>
                <w:rFonts w:hint="eastAsia" w:ascii="楷体" w:hAnsi="楷体" w:eastAsia="楷体" w:cs="华文仿宋"/>
                <w:sz w:val="24"/>
                <w:lang w:eastAsia="zh-CN"/>
              </w:rPr>
              <w:t>。</w:t>
            </w:r>
            <w:r>
              <w:rPr>
                <w:rFonts w:hint="eastAsia" w:ascii="楷体" w:hAnsi="楷体" w:eastAsia="楷体" w:cs="华文仿宋"/>
                <w:sz w:val="24"/>
                <w:lang w:val="en-US" w:eastAsia="zh-CN"/>
              </w:rPr>
              <w:t>项目</w:t>
            </w:r>
            <w:r>
              <w:rPr>
                <w:rFonts w:hint="eastAsia" w:ascii="楷体" w:hAnsi="楷体" w:eastAsia="楷体" w:cs="华文仿宋"/>
                <w:sz w:val="24"/>
                <w:lang w:eastAsia="zh-CN"/>
              </w:rPr>
              <w:t>位于郑州市</w:t>
            </w:r>
            <w:r>
              <w:rPr>
                <w:rFonts w:hint="eastAsia" w:ascii="楷体" w:hAnsi="楷体" w:eastAsia="楷体" w:cs="华文仿宋"/>
                <w:sz w:val="24"/>
                <w:lang w:val="en-US" w:eastAsia="zh-CN"/>
              </w:rPr>
              <w:t>科学大道郑州大学主校区内。</w:t>
            </w:r>
            <w:r>
              <w:rPr>
                <w:rFonts w:hint="eastAsia" w:ascii="楷体" w:hAnsi="楷体" w:eastAsia="楷体" w:cs="华文仿宋"/>
                <w:sz w:val="24"/>
                <w:lang w:eastAsia="zh-CN"/>
              </w:rPr>
              <w:t>施工内容</w:t>
            </w:r>
            <w:r>
              <w:rPr>
                <w:rFonts w:hint="eastAsia" w:ascii="楷体" w:hAnsi="楷体" w:eastAsia="楷体" w:cs="华文仿宋"/>
                <w:sz w:val="24"/>
                <w:lang w:val="en-US" w:eastAsia="zh-CN"/>
              </w:rPr>
              <w:t>树木栽植及种植土回换等项目</w:t>
            </w:r>
            <w:r>
              <w:rPr>
                <w:rFonts w:hint="eastAsia" w:ascii="楷体" w:hAnsi="楷体" w:eastAsia="楷体" w:cs="华文仿宋"/>
                <w:sz w:val="24"/>
                <w:lang w:eastAsia="zh-CN"/>
              </w:rPr>
              <w:t>。</w:t>
            </w:r>
          </w:p>
          <w:p w14:paraId="698BC6AD">
            <w:pPr>
              <w:spacing w:line="480" w:lineRule="auto"/>
              <w:jc w:val="left"/>
              <w:rPr>
                <w:rFonts w:hint="eastAsia" w:ascii="楷体" w:hAnsi="楷体" w:eastAsia="楷体" w:cs="华文仿宋"/>
                <w:b/>
                <w:bCs/>
                <w:sz w:val="24"/>
                <w:lang w:eastAsia="zh-CN"/>
              </w:rPr>
            </w:pPr>
            <w:r>
              <w:rPr>
                <w:rFonts w:hint="eastAsia" w:ascii="楷体" w:hAnsi="楷体" w:eastAsia="楷体" w:cs="华文仿宋"/>
                <w:b/>
                <w:bCs/>
                <w:sz w:val="24"/>
                <w:lang w:eastAsia="zh-CN"/>
              </w:rPr>
              <w:t>二、编制依据：</w:t>
            </w:r>
          </w:p>
          <w:p w14:paraId="4E2FFF51">
            <w:pPr>
              <w:spacing w:line="480" w:lineRule="auto"/>
              <w:jc w:val="left"/>
              <w:rPr>
                <w:rFonts w:hint="eastAsia" w:ascii="楷体" w:hAnsi="楷体" w:eastAsia="楷体" w:cs="华文仿宋"/>
                <w:sz w:val="24"/>
                <w:lang w:eastAsia="zh-CN"/>
              </w:rPr>
            </w:pPr>
            <w:r>
              <w:rPr>
                <w:rFonts w:hint="eastAsia" w:ascii="楷体" w:hAnsi="楷体" w:eastAsia="楷体" w:cs="华文仿宋"/>
                <w:sz w:val="24"/>
                <w:lang w:eastAsia="zh-CN"/>
              </w:rPr>
              <w:t>1、《建设工程工程量清单计价规范》（GB50500-2013）、《</w:t>
            </w:r>
            <w:r>
              <w:rPr>
                <w:rFonts w:hint="eastAsia" w:ascii="楷体" w:hAnsi="楷体" w:eastAsia="楷体" w:cs="华文仿宋"/>
                <w:sz w:val="24"/>
                <w:lang w:val="en-US" w:eastAsia="zh-CN"/>
              </w:rPr>
              <w:t>园林绿化工程工程量计算规范</w:t>
            </w:r>
            <w:r>
              <w:rPr>
                <w:rFonts w:hint="eastAsia" w:ascii="楷体" w:hAnsi="楷体" w:eastAsia="楷体" w:cs="华文仿宋"/>
                <w:sz w:val="24"/>
                <w:lang w:eastAsia="zh-CN"/>
              </w:rPr>
              <w:t>》（GB5085</w:t>
            </w:r>
            <w:r>
              <w:rPr>
                <w:rFonts w:hint="eastAsia" w:ascii="楷体" w:hAnsi="楷体" w:eastAsia="楷体" w:cs="华文仿宋"/>
                <w:sz w:val="24"/>
                <w:lang w:val="en-US" w:eastAsia="zh-CN"/>
              </w:rPr>
              <w:t>8</w:t>
            </w:r>
            <w:r>
              <w:rPr>
                <w:rFonts w:hint="eastAsia" w:ascii="楷体" w:hAnsi="楷体" w:eastAsia="楷体" w:cs="华文仿宋"/>
                <w:sz w:val="24"/>
                <w:lang w:eastAsia="zh-CN"/>
              </w:rPr>
              <w:t>-2013）；《通用安装工程工程量计算规范》（GB50856-2013）</w:t>
            </w:r>
          </w:p>
          <w:p w14:paraId="131E4C5C">
            <w:pPr>
              <w:spacing w:line="480" w:lineRule="auto"/>
              <w:jc w:val="left"/>
              <w:rPr>
                <w:rFonts w:hint="eastAsia" w:ascii="楷体" w:hAnsi="楷体" w:eastAsia="楷体" w:cs="华文仿宋"/>
                <w:sz w:val="24"/>
                <w:lang w:eastAsia="zh-CN"/>
              </w:rPr>
            </w:pPr>
            <w:r>
              <w:rPr>
                <w:rFonts w:hint="eastAsia" w:ascii="楷体" w:hAnsi="楷体" w:eastAsia="楷体" w:cs="华文仿宋"/>
                <w:sz w:val="24"/>
                <w:lang w:eastAsia="zh-CN"/>
              </w:rPr>
              <w:t>2、《河南省房屋与装饰工程预算定额》(HA01-31-2016)、《河南省</w:t>
            </w:r>
            <w:r>
              <w:rPr>
                <w:rFonts w:hint="eastAsia" w:ascii="楷体" w:hAnsi="楷体" w:eastAsia="楷体" w:cs="华文仿宋"/>
                <w:sz w:val="24"/>
                <w:lang w:val="en-US" w:eastAsia="zh-CN"/>
              </w:rPr>
              <w:t>绿色建筑工程</w:t>
            </w:r>
            <w:r>
              <w:rPr>
                <w:rFonts w:hint="eastAsia" w:ascii="楷体" w:hAnsi="楷体" w:eastAsia="楷体" w:cs="华文仿宋"/>
                <w:sz w:val="24"/>
                <w:lang w:eastAsia="zh-CN"/>
              </w:rPr>
              <w:t>预算定额》(201</w:t>
            </w:r>
            <w:r>
              <w:rPr>
                <w:rFonts w:hint="eastAsia" w:ascii="楷体" w:hAnsi="楷体" w:eastAsia="楷体" w:cs="华文仿宋"/>
                <w:sz w:val="24"/>
                <w:lang w:val="en-US" w:eastAsia="zh-CN"/>
              </w:rPr>
              <w:t>9</w:t>
            </w:r>
            <w:r>
              <w:rPr>
                <w:rFonts w:hint="eastAsia" w:ascii="楷体" w:hAnsi="楷体" w:eastAsia="楷体" w:cs="华文仿宋"/>
                <w:sz w:val="24"/>
                <w:lang w:eastAsia="zh-CN"/>
              </w:rPr>
              <w:t>)、《河南省通用安装工程预算定额》(HA02-31-2016)；</w:t>
            </w:r>
          </w:p>
          <w:p w14:paraId="0D50F266">
            <w:pPr>
              <w:spacing w:line="480" w:lineRule="auto"/>
              <w:jc w:val="left"/>
              <w:rPr>
                <w:rFonts w:hint="eastAsia" w:ascii="楷体" w:hAnsi="楷体" w:eastAsia="楷体" w:cs="华文仿宋"/>
                <w:sz w:val="24"/>
                <w:lang w:eastAsia="zh-CN"/>
              </w:rPr>
            </w:pPr>
            <w:r>
              <w:rPr>
                <w:rFonts w:hint="eastAsia" w:ascii="楷体" w:hAnsi="楷体" w:eastAsia="楷体" w:cs="华文仿宋"/>
                <w:sz w:val="24"/>
                <w:lang w:eastAsia="zh-CN"/>
              </w:rPr>
              <w:t>3、与本工程有关的标准、图集、规范、技术资料等；</w:t>
            </w:r>
          </w:p>
          <w:p w14:paraId="04D254BC">
            <w:pPr>
              <w:spacing w:line="480" w:lineRule="auto"/>
              <w:jc w:val="left"/>
              <w:rPr>
                <w:rFonts w:hint="eastAsia" w:ascii="楷体" w:hAnsi="楷体" w:eastAsia="楷体" w:cs="华文仿宋"/>
                <w:sz w:val="24"/>
                <w:lang w:eastAsia="zh-CN"/>
              </w:rPr>
            </w:pPr>
            <w:r>
              <w:rPr>
                <w:rFonts w:hint="eastAsia" w:ascii="楷体" w:hAnsi="楷体" w:eastAsia="楷体" w:cs="华文仿宋"/>
                <w:sz w:val="24"/>
                <w:lang w:eastAsia="zh-CN"/>
              </w:rPr>
              <w:t>4、</w:t>
            </w:r>
            <w:r>
              <w:rPr>
                <w:rFonts w:hint="eastAsia" w:ascii="楷体" w:hAnsi="楷体" w:eastAsia="楷体" w:cs="华文仿宋"/>
                <w:kern w:val="2"/>
                <w:sz w:val="24"/>
                <w:szCs w:val="22"/>
                <w:lang w:val="en-US" w:eastAsia="zh-CN" w:bidi="ar-SA"/>
              </w:rPr>
              <w:t>郑州大学后勤保障中心主校区2025年春季绿化地被植物项目</w:t>
            </w:r>
            <w:bookmarkStart w:id="0" w:name="_GoBack"/>
            <w:bookmarkEnd w:id="0"/>
            <w:r>
              <w:rPr>
                <w:rFonts w:hint="eastAsia" w:ascii="楷体" w:hAnsi="楷体" w:eastAsia="楷体" w:cs="华文仿宋"/>
                <w:sz w:val="24"/>
                <w:lang w:eastAsia="zh-CN"/>
              </w:rPr>
              <w:t>现场情况等。</w:t>
            </w:r>
          </w:p>
          <w:p w14:paraId="1F6C3453">
            <w:pPr>
              <w:spacing w:line="480" w:lineRule="auto"/>
              <w:jc w:val="left"/>
              <w:rPr>
                <w:rFonts w:hint="default" w:ascii="楷体" w:hAnsi="楷体" w:eastAsia="楷体" w:cs="华文仿宋"/>
                <w:sz w:val="24"/>
                <w:lang w:val="en-US" w:eastAsia="zh-CN"/>
              </w:rPr>
            </w:pPr>
            <w:r>
              <w:rPr>
                <w:rFonts w:hint="eastAsia" w:ascii="楷体" w:hAnsi="楷体" w:eastAsia="楷体" w:cs="华文仿宋"/>
                <w:sz w:val="24"/>
                <w:lang w:val="en-US" w:eastAsia="zh-CN"/>
              </w:rPr>
              <w:t>5、要求移植乔灌木均带土球包装移植，树木土球直径不小于树干直径的6-8倍。</w:t>
            </w:r>
          </w:p>
          <w:p w14:paraId="3038A197">
            <w:pPr>
              <w:spacing w:line="480" w:lineRule="auto"/>
              <w:jc w:val="left"/>
              <w:rPr>
                <w:rFonts w:hint="default" w:ascii="楷体" w:hAnsi="楷体" w:eastAsia="楷体" w:cs="华文仿宋"/>
                <w:sz w:val="24"/>
                <w:lang w:val="en-US" w:eastAsia="zh-CN"/>
              </w:rPr>
            </w:pPr>
            <w:r>
              <w:rPr>
                <w:rFonts w:hint="eastAsia" w:ascii="楷体" w:hAnsi="楷体" w:eastAsia="楷体" w:cs="华文仿宋"/>
                <w:sz w:val="24"/>
                <w:lang w:val="en-US" w:eastAsia="zh-CN"/>
              </w:rPr>
              <w:t>6、项目特征描述均为符合国家相关法律法规及行业相关标准规范要求。</w:t>
            </w:r>
          </w:p>
          <w:p w14:paraId="099A7588">
            <w:pPr>
              <w:spacing w:line="480" w:lineRule="auto"/>
              <w:jc w:val="left"/>
              <w:rPr>
                <w:rFonts w:hint="eastAsia" w:ascii="楷体" w:hAnsi="楷体" w:eastAsia="楷体" w:cs="华文仿宋"/>
                <w:b/>
                <w:bCs/>
                <w:sz w:val="24"/>
                <w:lang w:eastAsia="zh-CN"/>
              </w:rPr>
            </w:pPr>
            <w:r>
              <w:rPr>
                <w:rFonts w:hint="eastAsia" w:ascii="楷体" w:hAnsi="楷体" w:eastAsia="楷体" w:cs="华文仿宋"/>
                <w:b/>
                <w:bCs/>
                <w:sz w:val="24"/>
                <w:lang w:eastAsia="zh-CN"/>
              </w:rPr>
              <w:t>三、编制说明：</w:t>
            </w:r>
          </w:p>
          <w:p w14:paraId="5D43F1CD">
            <w:pPr>
              <w:spacing w:line="480" w:lineRule="auto"/>
              <w:jc w:val="left"/>
              <w:rPr>
                <w:rFonts w:hint="eastAsia" w:ascii="楷体" w:hAnsi="楷体" w:eastAsia="楷体" w:cs="华文仿宋"/>
                <w:sz w:val="24"/>
                <w:lang w:eastAsia="zh-CN"/>
              </w:rPr>
            </w:pPr>
            <w:r>
              <w:rPr>
                <w:rFonts w:hint="eastAsia" w:ascii="楷体" w:hAnsi="楷体" w:eastAsia="楷体" w:cs="华文仿宋"/>
                <w:sz w:val="24"/>
                <w:lang w:eastAsia="zh-CN"/>
              </w:rPr>
              <w:t>1、材料价</w:t>
            </w:r>
            <w:r>
              <w:rPr>
                <w:rFonts w:hint="eastAsia" w:ascii="楷体" w:hAnsi="楷体" w:eastAsia="楷体" w:cs="华文仿宋"/>
                <w:sz w:val="24"/>
                <w:lang w:val="en-US" w:eastAsia="zh-CN"/>
              </w:rPr>
              <w:t>可</w:t>
            </w:r>
            <w:r>
              <w:rPr>
                <w:rFonts w:hint="eastAsia" w:ascii="楷体" w:hAnsi="楷体" w:eastAsia="楷体" w:cs="华文仿宋"/>
                <w:sz w:val="24"/>
                <w:lang w:eastAsia="zh-CN"/>
              </w:rPr>
              <w:t>参考郑州市202</w:t>
            </w:r>
            <w:r>
              <w:rPr>
                <w:rFonts w:hint="eastAsia" w:ascii="楷体" w:hAnsi="楷体" w:eastAsia="楷体" w:cs="华文仿宋"/>
                <w:sz w:val="24"/>
                <w:lang w:val="en-US" w:eastAsia="zh-CN"/>
              </w:rPr>
              <w:t>5</w:t>
            </w:r>
            <w:r>
              <w:rPr>
                <w:rFonts w:hint="eastAsia" w:ascii="楷体" w:hAnsi="楷体" w:eastAsia="楷体" w:cs="华文仿宋"/>
                <w:sz w:val="24"/>
                <w:lang w:eastAsia="zh-CN"/>
              </w:rPr>
              <w:t>年发布的</w:t>
            </w:r>
            <w:r>
              <w:rPr>
                <w:rFonts w:hint="eastAsia" w:ascii="楷体" w:hAnsi="楷体" w:eastAsia="楷体" w:cs="华文仿宋"/>
                <w:sz w:val="24"/>
                <w:lang w:val="en-US" w:eastAsia="zh-CN"/>
              </w:rPr>
              <w:t>最新</w:t>
            </w:r>
            <w:r>
              <w:rPr>
                <w:rFonts w:hint="eastAsia" w:ascii="楷体" w:hAnsi="楷体" w:eastAsia="楷体" w:cs="华文仿宋"/>
                <w:sz w:val="24"/>
                <w:lang w:eastAsia="zh-CN"/>
              </w:rPr>
              <w:t>信息价执行，不适用时参考市场价计取；</w:t>
            </w:r>
          </w:p>
          <w:p w14:paraId="6AAB4DF1">
            <w:pPr>
              <w:spacing w:line="480" w:lineRule="auto"/>
              <w:jc w:val="left"/>
              <w:rPr>
                <w:rFonts w:hint="eastAsia" w:ascii="楷体" w:hAnsi="楷体" w:eastAsia="楷体" w:cs="华文仿宋"/>
                <w:sz w:val="24"/>
                <w:lang w:eastAsia="zh-CN"/>
              </w:rPr>
            </w:pPr>
            <w:r>
              <w:rPr>
                <w:rFonts w:hint="eastAsia" w:ascii="楷体" w:hAnsi="楷体" w:eastAsia="楷体" w:cs="华文仿宋"/>
                <w:sz w:val="24"/>
                <w:lang w:eastAsia="zh-CN"/>
              </w:rPr>
              <w:t>2、本工程</w:t>
            </w:r>
            <w:r>
              <w:rPr>
                <w:rFonts w:hint="eastAsia" w:ascii="楷体" w:hAnsi="楷体" w:eastAsia="楷体" w:cs="华文仿宋"/>
                <w:sz w:val="24"/>
                <w:lang w:val="en-US" w:eastAsia="zh-CN"/>
              </w:rPr>
              <w:t>不设</w:t>
            </w:r>
            <w:r>
              <w:rPr>
                <w:rFonts w:hint="eastAsia" w:ascii="楷体" w:hAnsi="楷体" w:eastAsia="楷体" w:cs="华文仿宋"/>
                <w:sz w:val="24"/>
                <w:lang w:eastAsia="zh-CN"/>
              </w:rPr>
              <w:t>暂列金额，</w:t>
            </w:r>
            <w:r>
              <w:rPr>
                <w:rFonts w:hint="eastAsia" w:ascii="楷体" w:hAnsi="楷体" w:eastAsia="楷体" w:cs="华文仿宋"/>
                <w:sz w:val="24"/>
                <w:lang w:val="en-US" w:eastAsia="zh-CN"/>
              </w:rPr>
              <w:t>不设</w:t>
            </w:r>
            <w:r>
              <w:rPr>
                <w:rFonts w:hint="eastAsia" w:ascii="楷体" w:hAnsi="楷体" w:eastAsia="楷体" w:cs="华文仿宋"/>
                <w:sz w:val="24"/>
                <w:lang w:eastAsia="zh-CN"/>
              </w:rPr>
              <w:t>暂估价；</w:t>
            </w:r>
          </w:p>
          <w:p w14:paraId="391D62F7">
            <w:pPr>
              <w:spacing w:line="480" w:lineRule="auto"/>
              <w:jc w:val="left"/>
              <w:rPr>
                <w:rFonts w:hint="eastAsia" w:ascii="楷体" w:hAnsi="楷体" w:eastAsia="楷体" w:cs="华文仿宋"/>
                <w:sz w:val="24"/>
                <w:lang w:eastAsia="zh-CN"/>
              </w:rPr>
            </w:pPr>
            <w:r>
              <w:rPr>
                <w:rFonts w:hint="eastAsia" w:ascii="楷体" w:hAnsi="楷体" w:eastAsia="楷体" w:cs="华文仿宋"/>
                <w:sz w:val="24"/>
                <w:lang w:eastAsia="zh-CN"/>
              </w:rPr>
              <w:t>3、本工程安全文明施工费、规费、税金按国家相关规定计取；</w:t>
            </w:r>
          </w:p>
          <w:p w14:paraId="76636F44">
            <w:pPr>
              <w:spacing w:line="480" w:lineRule="auto"/>
              <w:jc w:val="left"/>
              <w:rPr>
                <w:rFonts w:hint="eastAsia" w:ascii="楷体" w:hAnsi="楷体" w:eastAsia="楷体" w:cs="华文仿宋"/>
                <w:sz w:val="24"/>
                <w:lang w:eastAsia="zh-CN"/>
              </w:rPr>
            </w:pPr>
            <w:r>
              <w:rPr>
                <w:rFonts w:hint="eastAsia" w:ascii="楷体" w:hAnsi="楷体" w:eastAsia="楷体" w:cs="华文仿宋"/>
                <w:sz w:val="24"/>
                <w:lang w:val="en-US" w:eastAsia="zh-CN"/>
              </w:rPr>
              <w:t>4、</w:t>
            </w:r>
            <w:r>
              <w:rPr>
                <w:rFonts w:hint="eastAsia" w:ascii="楷体" w:hAnsi="楷体" w:eastAsia="楷体" w:cs="华文仿宋"/>
                <w:sz w:val="24"/>
                <w:lang w:eastAsia="zh-CN"/>
              </w:rPr>
              <w:t>措施费综合考虑按一次性计取，不再另行计取。</w:t>
            </w:r>
          </w:p>
          <w:p w14:paraId="3D8B1373">
            <w:pPr>
              <w:spacing w:line="480" w:lineRule="auto"/>
              <w:jc w:val="left"/>
              <w:rPr>
                <w:rFonts w:hint="default" w:ascii="楷体" w:hAnsi="楷体" w:eastAsia="楷体" w:cs="华文仿宋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楷体" w:hAnsi="楷体" w:eastAsia="楷体" w:cs="华文仿宋"/>
                <w:sz w:val="24"/>
                <w:lang w:eastAsia="zh-CN"/>
              </w:rPr>
              <w:t xml:space="preserve"> </w:t>
            </w:r>
          </w:p>
        </w:tc>
      </w:tr>
    </w:tbl>
    <w:p w14:paraId="43A8AEC4">
      <w:pPr>
        <w:jc w:val="both"/>
        <w:rPr>
          <w:b/>
          <w:sz w:val="44"/>
          <w:szCs w:val="44"/>
        </w:rPr>
      </w:pPr>
    </w:p>
    <w:sectPr>
      <w:pgSz w:w="11906" w:h="16838"/>
      <w:pgMar w:top="1020" w:right="1274" w:bottom="814" w:left="1276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E0ZWM4OWU3ZmIzNjM0NDRjYzMzYWUzOTY3Y2E4NjcifQ=="/>
  </w:docVars>
  <w:rsids>
    <w:rsidRoot w:val="00410FFE"/>
    <w:rsid w:val="000726DB"/>
    <w:rsid w:val="000E3422"/>
    <w:rsid w:val="00165709"/>
    <w:rsid w:val="00265AED"/>
    <w:rsid w:val="00410FFE"/>
    <w:rsid w:val="004261E7"/>
    <w:rsid w:val="0044155F"/>
    <w:rsid w:val="004878BD"/>
    <w:rsid w:val="004A45E2"/>
    <w:rsid w:val="00521A00"/>
    <w:rsid w:val="005273BD"/>
    <w:rsid w:val="006D24BC"/>
    <w:rsid w:val="008C4180"/>
    <w:rsid w:val="00A61F9B"/>
    <w:rsid w:val="00A76DB6"/>
    <w:rsid w:val="00AC5796"/>
    <w:rsid w:val="00B31E3C"/>
    <w:rsid w:val="00B328C8"/>
    <w:rsid w:val="00E72233"/>
    <w:rsid w:val="041F31B4"/>
    <w:rsid w:val="054212AD"/>
    <w:rsid w:val="069F584A"/>
    <w:rsid w:val="088924D6"/>
    <w:rsid w:val="0AB5021E"/>
    <w:rsid w:val="0F5176BB"/>
    <w:rsid w:val="11001EFA"/>
    <w:rsid w:val="112C69D1"/>
    <w:rsid w:val="133B462D"/>
    <w:rsid w:val="14FC4CD8"/>
    <w:rsid w:val="15830210"/>
    <w:rsid w:val="169E7520"/>
    <w:rsid w:val="17216171"/>
    <w:rsid w:val="193808D9"/>
    <w:rsid w:val="19DA3F21"/>
    <w:rsid w:val="1C861F28"/>
    <w:rsid w:val="1DF713F6"/>
    <w:rsid w:val="1E923783"/>
    <w:rsid w:val="20657C9D"/>
    <w:rsid w:val="20C310EA"/>
    <w:rsid w:val="23C32B29"/>
    <w:rsid w:val="283B7DE9"/>
    <w:rsid w:val="291759F0"/>
    <w:rsid w:val="2B4666E7"/>
    <w:rsid w:val="2E183793"/>
    <w:rsid w:val="2F792F88"/>
    <w:rsid w:val="360B509A"/>
    <w:rsid w:val="38F237EF"/>
    <w:rsid w:val="3BD0364D"/>
    <w:rsid w:val="3C914CF1"/>
    <w:rsid w:val="3EE14B90"/>
    <w:rsid w:val="427F23D1"/>
    <w:rsid w:val="47DF3BBE"/>
    <w:rsid w:val="49CD7E0A"/>
    <w:rsid w:val="4AC03A83"/>
    <w:rsid w:val="4C14755B"/>
    <w:rsid w:val="50187D91"/>
    <w:rsid w:val="5083482C"/>
    <w:rsid w:val="52A0757D"/>
    <w:rsid w:val="53F2579B"/>
    <w:rsid w:val="55B24F47"/>
    <w:rsid w:val="58475CCD"/>
    <w:rsid w:val="586343B7"/>
    <w:rsid w:val="58816B1D"/>
    <w:rsid w:val="5AD5680C"/>
    <w:rsid w:val="5D4F01E5"/>
    <w:rsid w:val="5E2467C6"/>
    <w:rsid w:val="5E990FDC"/>
    <w:rsid w:val="5F7502CF"/>
    <w:rsid w:val="61503899"/>
    <w:rsid w:val="61CB627A"/>
    <w:rsid w:val="634E1B55"/>
    <w:rsid w:val="6467370E"/>
    <w:rsid w:val="671B519B"/>
    <w:rsid w:val="68875B0B"/>
    <w:rsid w:val="68C249A2"/>
    <w:rsid w:val="6A543A2C"/>
    <w:rsid w:val="6C3E3BDB"/>
    <w:rsid w:val="6C786106"/>
    <w:rsid w:val="6DE227CA"/>
    <w:rsid w:val="6E782E2D"/>
    <w:rsid w:val="709B70CF"/>
    <w:rsid w:val="70F72990"/>
    <w:rsid w:val="75AF6441"/>
    <w:rsid w:val="768F024E"/>
    <w:rsid w:val="77143C9D"/>
    <w:rsid w:val="77F805D4"/>
    <w:rsid w:val="7CC87045"/>
    <w:rsid w:val="7DA56B26"/>
    <w:rsid w:val="7E5F75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autoRedefine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autoRedefine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autoRedefine/>
    <w:semiHidden/>
    <w:unhideWhenUsed/>
    <w:qFormat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6">
    <w:name w:val="Table Grid"/>
    <w:basedOn w:val="5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3"/>
    <w:autoRedefine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2"/>
    <w:semiHidden/>
    <w:qFormat/>
    <w:uiPriority w:val="99"/>
    <w:rPr>
      <w:sz w:val="18"/>
      <w:szCs w:val="18"/>
    </w:rPr>
  </w:style>
  <w:style w:type="paragraph" w:styleId="10">
    <w:name w:val="List Paragraph"/>
    <w:basedOn w:val="1"/>
    <w:autoRedefine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satMod val="300000"/>
                <a:tint val="50000"/>
              </a:schemeClr>
            </a:gs>
            <a:gs pos="35000">
              <a:schemeClr val="phClr">
                <a:satMod val="300000"/>
                <a:tint val="37000"/>
              </a:schemeClr>
            </a:gs>
            <a:gs pos="100000">
              <a:schemeClr val="phClr">
                <a:satMod val="350000"/>
                <a:tint val="15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atMod val="130000"/>
                <a:shade val="51000"/>
              </a:schemeClr>
            </a:gs>
            <a:gs pos="80000">
              <a:schemeClr val="phClr">
                <a:satMod val="130000"/>
                <a:shade val="93000"/>
              </a:schemeClr>
            </a:gs>
            <a:gs pos="100000">
              <a:schemeClr val="phClr">
                <a:satMod val="135000"/>
                <a:shade val="94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atMod val="105000"/>
              <a:shade val="9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satMod val="350000"/>
                <a:tint val="40000"/>
              </a:schemeClr>
            </a:gs>
            <a:gs pos="40000">
              <a:schemeClr val="phClr">
                <a:satMod val="350000"/>
                <a:shade val="99000"/>
                <a:tint val="45000"/>
              </a:schemeClr>
            </a:gs>
            <a:gs pos="100000">
              <a:schemeClr val="phClr">
                <a:satMod val="255000"/>
                <a:shade val="20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satMod val="300000"/>
                <a:tint val="80000"/>
              </a:schemeClr>
            </a:gs>
            <a:gs pos="100000">
              <a:schemeClr val="phClr">
                <a:satMod val="200000"/>
                <a:shade val="3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忠信技术</Company>
  <Pages>1</Pages>
  <Words>466</Words>
  <Characters>544</Characters>
  <Lines>2</Lines>
  <Paragraphs>1</Paragraphs>
  <TotalTime>8</TotalTime>
  <ScaleCrop>false</ScaleCrop>
  <LinksUpToDate>false</LinksUpToDate>
  <CharactersWithSpaces>548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2019-02-25T01:01:00Z</dcterms:created>
  <dc:creator>PC</dc:creator>
  <cp:lastModifiedBy>刘杰</cp:lastModifiedBy>
  <dcterms:modified xsi:type="dcterms:W3CDTF">2025-04-21T03:16:34Z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46635CC194DF48138DAF314D1CB2D63A_13</vt:lpwstr>
  </property>
  <property fmtid="{D5CDD505-2E9C-101B-9397-08002B2CF9AE}" pid="4" name="KSOTemplateDocerSaveRecord">
    <vt:lpwstr>eyJoZGlkIjoiYzBmNjE3MTEzNmNkNDBlNmVjMjMwNTE0ZmQ2MjQ4YWUiLCJ1c2VySWQiOiI1ODA1NTc4MTAifQ==</vt:lpwstr>
  </property>
</Properties>
</file>