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49ED1">
      <w:pPr>
        <w:pStyle w:val="2"/>
        <w:ind w:leftChars="-405" w:hanging="849" w:hangingChars="354"/>
        <w:rPr>
          <w:rFonts w:hint="eastAsia" w:ascii="宋体" w:hAnsi="宋体" w:eastAsia="宋体" w:cs="宋体"/>
          <w:color w:val="auto"/>
          <w:highlight w:val="none"/>
        </w:rPr>
      </w:pPr>
    </w:p>
    <w:p w14:paraId="564FD99A">
      <w:pPr>
        <w:pStyle w:val="8"/>
        <w:jc w:val="center"/>
        <w:outlineLvl w:val="0"/>
        <w:rPr>
          <w:rFonts w:hint="eastAsia" w:ascii="宋体" w:hAnsi="宋体" w:eastAsia="宋体" w:cs="宋体"/>
          <w:b/>
          <w:bCs/>
          <w:color w:val="auto"/>
          <w:sz w:val="30"/>
          <w:szCs w:val="30"/>
          <w:highlight w:val="none"/>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bCs/>
          <w:color w:val="auto"/>
          <w:sz w:val="30"/>
          <w:szCs w:val="30"/>
          <w:highlight w:val="none"/>
          <w:lang w:eastAsia="zh-CN"/>
        </w:rPr>
        <w:drawing>
          <wp:inline distT="0" distB="0" distL="114300" distR="114300">
            <wp:extent cx="5266690" cy="7287260"/>
            <wp:effectExtent l="0" t="0" r="10160" b="8890"/>
            <wp:docPr id="4" name="图片 1" descr="07f30e5ed2e79c3dae2771429f1787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7f30e5ed2e79c3dae2771429f1787de"/>
                    <pic:cNvPicPr>
                      <a:picLocks noChangeAspect="1"/>
                    </pic:cNvPicPr>
                  </pic:nvPicPr>
                  <pic:blipFill>
                    <a:blip r:embed="rId8"/>
                    <a:stretch>
                      <a:fillRect/>
                    </a:stretch>
                  </pic:blipFill>
                  <pic:spPr>
                    <a:xfrm>
                      <a:off x="0" y="0"/>
                      <a:ext cx="5266690" cy="7287260"/>
                    </a:xfrm>
                    <a:prstGeom prst="rect">
                      <a:avLst/>
                    </a:prstGeom>
                    <a:noFill/>
                    <a:ln>
                      <a:noFill/>
                    </a:ln>
                  </pic:spPr>
                </pic:pic>
              </a:graphicData>
            </a:graphic>
          </wp:inline>
        </w:drawing>
      </w:r>
    </w:p>
    <w:p w14:paraId="6548A8AA">
      <w:pPr>
        <w:pStyle w:val="8"/>
        <w:jc w:val="center"/>
        <w:outlineLvl w:val="0"/>
        <w:rPr>
          <w:rFonts w:hint="eastAsia" w:ascii="宋体" w:hAnsi="宋体" w:eastAsia="宋体" w:cs="宋体"/>
          <w:color w:val="auto"/>
          <w:sz w:val="40"/>
          <w:szCs w:val="40"/>
          <w:highlight w:val="none"/>
        </w:rPr>
      </w:pPr>
      <w:bookmarkStart w:id="0" w:name="_Toc142476143"/>
      <w:r>
        <w:rPr>
          <w:rFonts w:hint="eastAsia" w:ascii="宋体" w:hAnsi="宋体" w:eastAsia="宋体" w:cs="宋体"/>
          <w:b/>
          <w:bCs/>
          <w:color w:val="auto"/>
          <w:sz w:val="36"/>
          <w:szCs w:val="36"/>
          <w:highlight w:val="none"/>
        </w:rPr>
        <w:t>目 录</w:t>
      </w:r>
      <w:bookmarkEnd w:id="0"/>
    </w:p>
    <w:p w14:paraId="730E4DAC">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val="0"/>
          <w:bCs w:val="0"/>
          <w:caps w:val="0"/>
          <w:color w:val="auto"/>
          <w:sz w:val="28"/>
          <w:szCs w:val="28"/>
          <w:highlight w:val="none"/>
        </w:rPr>
        <w:fldChar w:fldCharType="begin"/>
      </w:r>
      <w:r>
        <w:rPr>
          <w:rFonts w:hint="eastAsia" w:ascii="宋体" w:hAnsi="宋体" w:eastAsia="宋体" w:cs="宋体"/>
          <w:b w:val="0"/>
          <w:bCs w:val="0"/>
          <w:caps w:val="0"/>
          <w:color w:val="auto"/>
          <w:sz w:val="28"/>
          <w:szCs w:val="28"/>
          <w:highlight w:val="none"/>
        </w:rPr>
        <w:instrText xml:space="preserve"> TOC \o "1-1" \f \h \z </w:instrText>
      </w:r>
      <w:r>
        <w:rPr>
          <w:rFonts w:hint="eastAsia" w:ascii="宋体" w:hAnsi="宋体" w:eastAsia="宋体" w:cs="宋体"/>
          <w:b w:val="0"/>
          <w:bCs w:val="0"/>
          <w:caps w:val="0"/>
          <w:color w:val="auto"/>
          <w:sz w:val="28"/>
          <w:szCs w:val="28"/>
          <w:highlight w:val="none"/>
        </w:rPr>
        <w:fldChar w:fldCharType="separate"/>
      </w: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_Toc23997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_Toc23997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5F3A48F9">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_Toc22373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color w:val="auto"/>
          <w:sz w:val="28"/>
          <w:szCs w:val="28"/>
          <w:highlight w:val="none"/>
        </w:rPr>
        <w:t>第二章 投标单位须知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3724DDD9">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_Toc24022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color w:val="auto"/>
          <w:sz w:val="28"/>
          <w:szCs w:val="28"/>
          <w:highlight w:val="none"/>
        </w:rPr>
        <w:t>第三章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_Toc24022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7EEFC0EC">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_Toc16190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color w:val="auto"/>
          <w:sz w:val="28"/>
          <w:szCs w:val="28"/>
          <w:highlight w:val="none"/>
        </w:rPr>
        <w:t>第四章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_Toc16190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7ABABBF3">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_Toc4100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color w:val="auto"/>
          <w:sz w:val="28"/>
          <w:szCs w:val="28"/>
          <w:highlight w:val="none"/>
        </w:rPr>
        <w:t>第五章 服务要求</w:t>
      </w:r>
      <w:r>
        <w:rPr>
          <w:rFonts w:hint="eastAsia" w:ascii="宋体" w:hAnsi="宋体" w:eastAsia="宋体" w:cs="宋体"/>
          <w:color w:val="auto"/>
          <w:sz w:val="28"/>
          <w:szCs w:val="28"/>
          <w:highlight w:val="none"/>
          <w:lang w:val="en-US" w:eastAsia="zh-CN"/>
        </w:rPr>
        <w:t>及质量标准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_Toc4100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099D84DE">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_Toc1316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7D197525">
      <w:pPr>
        <w:pStyle w:val="11"/>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val="0"/>
          <w:caps w:val="0"/>
          <w:color w:val="auto"/>
          <w:sz w:val="28"/>
          <w:szCs w:val="28"/>
          <w:highlight w:val="none"/>
        </w:rPr>
        <w:fldChar w:fldCharType="begin"/>
      </w:r>
      <w:r>
        <w:rPr>
          <w:rFonts w:hint="eastAsia" w:ascii="宋体" w:hAnsi="宋体" w:eastAsia="宋体" w:cs="宋体"/>
          <w:bCs w:val="0"/>
          <w:caps w:val="0"/>
          <w:color w:val="auto"/>
          <w:sz w:val="28"/>
          <w:szCs w:val="28"/>
          <w:highlight w:val="none"/>
        </w:rPr>
        <w:instrText xml:space="preserve"> HYPERLINK \l _Toc23578 </w:instrText>
      </w:r>
      <w:r>
        <w:rPr>
          <w:rFonts w:hint="eastAsia" w:ascii="宋体" w:hAnsi="宋体" w:eastAsia="宋体" w:cs="宋体"/>
          <w:bCs w:val="0"/>
          <w:caps w:val="0"/>
          <w:color w:val="auto"/>
          <w:sz w:val="28"/>
          <w:szCs w:val="28"/>
          <w:highlight w:val="none"/>
        </w:rPr>
        <w:fldChar w:fldCharType="separate"/>
      </w:r>
      <w:r>
        <w:rPr>
          <w:rFonts w:hint="eastAsia" w:ascii="宋体" w:hAnsi="宋体" w:eastAsia="宋体" w:cs="宋体"/>
          <w:bCs/>
          <w:color w:val="auto"/>
          <w:sz w:val="28"/>
          <w:szCs w:val="28"/>
          <w:highlight w:val="none"/>
        </w:rPr>
        <w:t>第七章 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_Toc23578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55</w:t>
      </w:r>
      <w:r>
        <w:rPr>
          <w:rFonts w:hint="eastAsia" w:ascii="宋体" w:hAnsi="宋体" w:eastAsia="宋体" w:cs="宋体"/>
          <w:color w:val="auto"/>
          <w:sz w:val="28"/>
          <w:szCs w:val="28"/>
          <w:highlight w:val="none"/>
        </w:rPr>
        <w:fldChar w:fldCharType="end"/>
      </w:r>
      <w:r>
        <w:rPr>
          <w:rFonts w:hint="eastAsia" w:ascii="宋体" w:hAnsi="宋体" w:eastAsia="宋体" w:cs="宋体"/>
          <w:bCs w:val="0"/>
          <w:caps w:val="0"/>
          <w:color w:val="auto"/>
          <w:sz w:val="28"/>
          <w:szCs w:val="28"/>
          <w:highlight w:val="none"/>
        </w:rPr>
        <w:fldChar w:fldCharType="end"/>
      </w:r>
    </w:p>
    <w:p w14:paraId="5E3DCD6B">
      <w:pPr>
        <w:spacing w:line="500" w:lineRule="exact"/>
        <w:rPr>
          <w:rFonts w:hint="eastAsia" w:ascii="宋体" w:hAnsi="宋体" w:eastAsia="宋体" w:cs="宋体"/>
          <w:color w:val="auto"/>
          <w:sz w:val="32"/>
          <w:szCs w:val="32"/>
          <w:highlight w:val="none"/>
        </w:rPr>
      </w:pPr>
      <w:r>
        <w:rPr>
          <w:rFonts w:hint="eastAsia" w:ascii="宋体" w:hAnsi="宋体" w:eastAsia="宋体" w:cs="宋体"/>
          <w:bCs/>
          <w:caps/>
          <w:color w:val="auto"/>
          <w:sz w:val="28"/>
          <w:szCs w:val="28"/>
          <w:highlight w:val="none"/>
        </w:rPr>
        <w:fldChar w:fldCharType="end"/>
      </w:r>
    </w:p>
    <w:p w14:paraId="687289EC">
      <w:pPr>
        <w:jc w:val="center"/>
        <w:rPr>
          <w:rFonts w:hint="eastAsia" w:ascii="宋体" w:hAnsi="宋体" w:eastAsia="宋体" w:cs="宋体"/>
          <w:color w:val="auto"/>
          <w:sz w:val="32"/>
          <w:szCs w:val="32"/>
          <w:highlight w:val="none"/>
        </w:rPr>
      </w:pPr>
    </w:p>
    <w:p w14:paraId="317C2C8E">
      <w:pPr>
        <w:jc w:val="center"/>
        <w:rPr>
          <w:rFonts w:hint="eastAsia" w:ascii="宋体" w:hAnsi="宋体" w:eastAsia="宋体" w:cs="宋体"/>
          <w:color w:val="auto"/>
          <w:sz w:val="32"/>
          <w:szCs w:val="32"/>
          <w:highlight w:val="none"/>
        </w:rPr>
      </w:pPr>
    </w:p>
    <w:p w14:paraId="6C5EB723">
      <w:pPr>
        <w:jc w:val="center"/>
        <w:rPr>
          <w:rFonts w:hint="eastAsia" w:ascii="宋体" w:hAnsi="宋体" w:eastAsia="宋体" w:cs="宋体"/>
          <w:color w:val="auto"/>
          <w:sz w:val="32"/>
          <w:szCs w:val="32"/>
          <w:highlight w:val="none"/>
        </w:rPr>
      </w:pPr>
    </w:p>
    <w:p w14:paraId="083A585B">
      <w:pPr>
        <w:jc w:val="center"/>
        <w:rPr>
          <w:rFonts w:hint="eastAsia" w:ascii="宋体" w:hAnsi="宋体" w:eastAsia="宋体" w:cs="宋体"/>
          <w:color w:val="auto"/>
          <w:sz w:val="32"/>
          <w:szCs w:val="32"/>
          <w:highlight w:val="none"/>
        </w:rPr>
      </w:pPr>
    </w:p>
    <w:p w14:paraId="0F1B7BA7">
      <w:pPr>
        <w:jc w:val="center"/>
        <w:rPr>
          <w:rFonts w:hint="eastAsia" w:ascii="宋体" w:hAnsi="宋体" w:eastAsia="宋体" w:cs="宋体"/>
          <w:color w:val="auto"/>
          <w:sz w:val="32"/>
          <w:szCs w:val="32"/>
          <w:highlight w:val="none"/>
        </w:rPr>
      </w:pPr>
    </w:p>
    <w:p w14:paraId="26E1ACEC">
      <w:pPr>
        <w:jc w:val="center"/>
        <w:rPr>
          <w:rFonts w:hint="eastAsia" w:ascii="宋体" w:hAnsi="宋体" w:eastAsia="宋体" w:cs="宋体"/>
          <w:color w:val="auto"/>
          <w:sz w:val="32"/>
          <w:szCs w:val="32"/>
          <w:highlight w:val="none"/>
        </w:rPr>
      </w:pPr>
    </w:p>
    <w:p w14:paraId="58EFC515">
      <w:pPr>
        <w:jc w:val="center"/>
        <w:rPr>
          <w:rFonts w:hint="eastAsia" w:ascii="宋体" w:hAnsi="宋体" w:eastAsia="宋体" w:cs="宋体"/>
          <w:color w:val="auto"/>
          <w:sz w:val="32"/>
          <w:szCs w:val="32"/>
          <w:highlight w:val="none"/>
        </w:rPr>
      </w:pPr>
    </w:p>
    <w:p w14:paraId="20181A5A">
      <w:pPr>
        <w:jc w:val="center"/>
        <w:rPr>
          <w:rFonts w:hint="eastAsia" w:ascii="宋体" w:hAnsi="宋体" w:eastAsia="宋体" w:cs="宋体"/>
          <w:color w:val="auto"/>
          <w:sz w:val="32"/>
          <w:szCs w:val="32"/>
          <w:highlight w:val="none"/>
        </w:rPr>
      </w:pPr>
    </w:p>
    <w:p w14:paraId="30959D3B">
      <w:pPr>
        <w:jc w:val="center"/>
        <w:rPr>
          <w:rFonts w:hint="eastAsia" w:ascii="宋体" w:hAnsi="宋体" w:eastAsia="宋体" w:cs="宋体"/>
          <w:color w:val="auto"/>
          <w:sz w:val="32"/>
          <w:szCs w:val="32"/>
          <w:highlight w:val="none"/>
        </w:rPr>
      </w:pPr>
    </w:p>
    <w:p w14:paraId="044A82B6">
      <w:pPr>
        <w:rPr>
          <w:rFonts w:hint="eastAsia" w:ascii="宋体" w:hAnsi="宋体" w:eastAsia="宋体" w:cs="宋体"/>
          <w:color w:val="auto"/>
          <w:sz w:val="32"/>
          <w:szCs w:val="32"/>
          <w:highlight w:val="none"/>
        </w:rPr>
      </w:pPr>
    </w:p>
    <w:p w14:paraId="60308927">
      <w:pPr>
        <w:rPr>
          <w:rFonts w:hint="eastAsia" w:ascii="宋体" w:hAnsi="宋体" w:eastAsia="宋体" w:cs="宋体"/>
          <w:color w:val="auto"/>
          <w:sz w:val="32"/>
          <w:szCs w:val="32"/>
          <w:highlight w:val="none"/>
        </w:rPr>
      </w:pPr>
    </w:p>
    <w:p w14:paraId="3C04E343">
      <w:pPr>
        <w:pStyle w:val="18"/>
        <w:rPr>
          <w:rFonts w:hint="eastAsia" w:ascii="宋体" w:hAnsi="宋体" w:eastAsia="宋体" w:cs="宋体"/>
          <w:color w:val="auto"/>
          <w:highlight w:val="none"/>
        </w:rPr>
      </w:pPr>
    </w:p>
    <w:p w14:paraId="12B82CF9">
      <w:pPr>
        <w:pStyle w:val="14"/>
        <w:rPr>
          <w:rFonts w:hint="eastAsia" w:ascii="宋体" w:hAnsi="宋体" w:eastAsia="宋体" w:cs="宋体"/>
          <w:color w:val="auto"/>
          <w:highlight w:val="none"/>
        </w:rPr>
      </w:pPr>
    </w:p>
    <w:p w14:paraId="256A24BF">
      <w:pPr>
        <w:pStyle w:val="14"/>
        <w:rPr>
          <w:rFonts w:hint="eastAsia" w:ascii="宋体" w:hAnsi="宋体" w:eastAsia="宋体" w:cs="宋体"/>
          <w:color w:val="auto"/>
          <w:highlight w:val="none"/>
        </w:rPr>
      </w:pPr>
    </w:p>
    <w:p w14:paraId="677DDF89">
      <w:pPr>
        <w:pStyle w:val="4"/>
        <w:numPr>
          <w:ilvl w:val="0"/>
          <w:numId w:val="1"/>
        </w:numPr>
        <w:spacing w:before="100" w:after="100" w:line="440" w:lineRule="exact"/>
        <w:jc w:val="center"/>
        <w:rPr>
          <w:rFonts w:hint="eastAsia" w:ascii="宋体" w:hAnsi="宋体" w:eastAsia="宋体" w:cs="宋体"/>
          <w:color w:val="auto"/>
          <w:sz w:val="36"/>
          <w:szCs w:val="36"/>
          <w:highlight w:val="none"/>
        </w:rPr>
      </w:pPr>
      <w:bookmarkStart w:id="1" w:name="_Toc511204031"/>
      <w:bookmarkEnd w:id="1"/>
      <w:bookmarkStart w:id="2" w:name="_Toc142476144"/>
      <w:bookmarkStart w:id="3" w:name="_Toc23997"/>
      <w:bookmarkStart w:id="4" w:name="_Toc6929016"/>
      <w:r>
        <w:rPr>
          <w:rFonts w:hint="eastAsia" w:ascii="宋体" w:hAnsi="宋体" w:eastAsia="宋体" w:cs="宋体"/>
          <w:color w:val="auto"/>
          <w:sz w:val="36"/>
          <w:szCs w:val="36"/>
          <w:highlight w:val="none"/>
        </w:rPr>
        <w:t>招标公告</w:t>
      </w:r>
      <w:bookmarkEnd w:id="2"/>
      <w:bookmarkEnd w:id="3"/>
      <w:bookmarkEnd w:id="4"/>
    </w:p>
    <w:p w14:paraId="26AAC8A5">
      <w:pPr>
        <w:jc w:val="center"/>
        <w:rPr>
          <w:rFonts w:hint="eastAsia" w:ascii="宋体" w:hAnsi="宋体" w:eastAsia="宋体" w:cs="宋体"/>
          <w:b/>
          <w:bCs/>
          <w:color w:val="auto"/>
          <w:kern w:val="0"/>
          <w:sz w:val="28"/>
          <w:szCs w:val="22"/>
          <w:highlight w:val="none"/>
        </w:rPr>
      </w:pPr>
      <w:bookmarkStart w:id="5" w:name="OLE_LINK39"/>
      <w:bookmarkStart w:id="6" w:name="OLE_LINK37"/>
      <w:bookmarkStart w:id="7" w:name="OLE_LINK43"/>
      <w:bookmarkStart w:id="8" w:name="OLE_LINK12"/>
      <w:bookmarkStart w:id="9" w:name="OLE_LINK28"/>
      <w:bookmarkStart w:id="10" w:name="OLE_LINK31"/>
      <w:bookmarkStart w:id="11" w:name="OLE_LINK13"/>
      <w:bookmarkStart w:id="12" w:name="OLE_LINK20"/>
      <w:r>
        <w:rPr>
          <w:rFonts w:hint="eastAsia" w:ascii="宋体" w:hAnsi="宋体" w:eastAsia="宋体" w:cs="宋体"/>
          <w:b/>
          <w:bCs/>
          <w:color w:val="auto"/>
          <w:kern w:val="0"/>
          <w:sz w:val="28"/>
          <w:szCs w:val="22"/>
          <w:highlight w:val="none"/>
        </w:rPr>
        <w:t>【平公资采</w:t>
      </w:r>
      <w:r>
        <w:rPr>
          <w:rFonts w:hint="eastAsia" w:ascii="宋体" w:hAnsi="宋体" w:eastAsia="宋体" w:cs="宋体"/>
          <w:b/>
          <w:bCs/>
          <w:color w:val="auto"/>
          <w:kern w:val="0"/>
          <w:sz w:val="28"/>
          <w:szCs w:val="22"/>
          <w:highlight w:val="none"/>
          <w:lang w:val="en-US" w:eastAsia="zh-CN"/>
        </w:rPr>
        <w:t>2025929号</w:t>
      </w:r>
      <w:r>
        <w:rPr>
          <w:rFonts w:hint="eastAsia" w:ascii="宋体" w:hAnsi="宋体" w:eastAsia="宋体" w:cs="宋体"/>
          <w:b/>
          <w:bCs/>
          <w:color w:val="auto"/>
          <w:kern w:val="0"/>
          <w:sz w:val="28"/>
          <w:szCs w:val="22"/>
          <w:highlight w:val="none"/>
        </w:rPr>
        <w:t>】</w:t>
      </w:r>
      <w:bookmarkEnd w:id="5"/>
      <w:bookmarkEnd w:id="6"/>
      <w:bookmarkEnd w:id="7"/>
      <w:bookmarkEnd w:id="8"/>
      <w:bookmarkEnd w:id="9"/>
      <w:bookmarkEnd w:id="10"/>
      <w:bookmarkEnd w:id="11"/>
      <w:bookmarkEnd w:id="12"/>
      <w:r>
        <w:rPr>
          <w:rFonts w:hint="eastAsia" w:ascii="宋体" w:hAnsi="宋体" w:eastAsia="宋体" w:cs="宋体"/>
          <w:b/>
          <w:bCs/>
          <w:color w:val="auto"/>
          <w:kern w:val="0"/>
          <w:sz w:val="28"/>
          <w:szCs w:val="22"/>
          <w:highlight w:val="none"/>
          <w:lang w:eastAsia="zh-CN"/>
        </w:rPr>
        <w:t>国有鲁山林场2025年全国森林可持续经营项目</w:t>
      </w:r>
      <w:r>
        <w:rPr>
          <w:rFonts w:hint="eastAsia" w:ascii="宋体" w:hAnsi="宋体" w:eastAsia="宋体" w:cs="宋体"/>
          <w:b/>
          <w:bCs/>
          <w:color w:val="auto"/>
          <w:kern w:val="0"/>
          <w:sz w:val="28"/>
          <w:szCs w:val="22"/>
          <w:highlight w:val="none"/>
          <w:lang w:val="en-US" w:eastAsia="zh-CN"/>
        </w:rPr>
        <w:t>-</w:t>
      </w:r>
      <w:r>
        <w:rPr>
          <w:rFonts w:hint="eastAsia" w:ascii="宋体" w:hAnsi="宋体" w:eastAsia="宋体" w:cs="宋体"/>
          <w:b/>
          <w:bCs/>
          <w:color w:val="auto"/>
          <w:kern w:val="0"/>
          <w:sz w:val="28"/>
          <w:szCs w:val="22"/>
          <w:highlight w:val="none"/>
        </w:rPr>
        <w:t>公开招标公告</w:t>
      </w:r>
    </w:p>
    <w:p w14:paraId="69D9BA16">
      <w:pPr>
        <w:snapToGrid w:val="0"/>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项目概况</w:t>
      </w:r>
    </w:p>
    <w:p w14:paraId="12194FD2">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国有鲁山林场2025年全国森林可持续经营项目</w:t>
      </w:r>
      <w:r>
        <w:rPr>
          <w:rFonts w:hint="eastAsia" w:ascii="宋体" w:hAnsi="宋体" w:eastAsia="宋体" w:cs="宋体"/>
          <w:color w:val="auto"/>
          <w:sz w:val="24"/>
          <w:highlight w:val="none"/>
        </w:rPr>
        <w:t>的潜在投标人应在平顶山市公共资源交易中心电子交易系统获取招标文件，并于</w:t>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 xml:space="preserve"> 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分（北京时间）前递交投标文件。</w:t>
      </w:r>
    </w:p>
    <w:p w14:paraId="2D5C2648">
      <w:pPr>
        <w:snapToGrid w:val="0"/>
        <w:spacing w:line="480" w:lineRule="exact"/>
        <w:rPr>
          <w:rFonts w:hint="eastAsia" w:ascii="宋体" w:hAnsi="宋体" w:eastAsia="宋体" w:cs="宋体"/>
          <w:b/>
          <w:bCs/>
          <w:color w:val="auto"/>
          <w:sz w:val="24"/>
          <w:highlight w:val="none"/>
        </w:rPr>
      </w:pPr>
      <w:bookmarkStart w:id="13" w:name="_Toc35393621"/>
      <w:bookmarkStart w:id="14" w:name="_Toc28359079"/>
      <w:bookmarkStart w:id="15" w:name="_Toc28359002"/>
      <w:bookmarkStart w:id="16" w:name="_Toc35393790"/>
      <w:bookmarkStart w:id="17" w:name="_Hlk24379207"/>
      <w:r>
        <w:rPr>
          <w:rFonts w:hint="eastAsia" w:ascii="宋体" w:hAnsi="宋体" w:eastAsia="宋体" w:cs="宋体"/>
          <w:b/>
          <w:bCs/>
          <w:color w:val="auto"/>
          <w:sz w:val="24"/>
          <w:highlight w:val="none"/>
        </w:rPr>
        <w:t>一、项目基本情况</w:t>
      </w:r>
      <w:bookmarkEnd w:id="13"/>
      <w:bookmarkEnd w:id="14"/>
      <w:bookmarkEnd w:id="15"/>
      <w:bookmarkEnd w:id="16"/>
    </w:p>
    <w:p w14:paraId="11372A54">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lang w:val="en-US" w:eastAsia="zh-CN"/>
        </w:rPr>
        <w:t>鲁采招标-2025-87</w:t>
      </w:r>
      <w:r>
        <w:rPr>
          <w:rFonts w:hint="eastAsia" w:ascii="宋体" w:hAnsi="宋体" w:eastAsia="宋体" w:cs="宋体"/>
          <w:color w:val="auto"/>
          <w:sz w:val="24"/>
          <w:highlight w:val="none"/>
          <w:lang w:eastAsia="zh-CN"/>
        </w:rPr>
        <w:t xml:space="preserve">     </w:t>
      </w:r>
    </w:p>
    <w:p w14:paraId="1E2DB978">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lang w:eastAsia="zh-CN"/>
        </w:rPr>
        <w:t>国有鲁山林场2025年全国森林可持续经营项目</w:t>
      </w:r>
    </w:p>
    <w:bookmarkEnd w:id="17"/>
    <w:p w14:paraId="1288B45A">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3、采购方式:公开招标</w:t>
      </w:r>
    </w:p>
    <w:p w14:paraId="112287EB">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4、预算金额：</w:t>
      </w:r>
      <w:r>
        <w:rPr>
          <w:rFonts w:hint="eastAsia" w:ascii="宋体" w:hAnsi="宋体" w:eastAsia="宋体" w:cs="宋体"/>
          <w:color w:val="auto"/>
          <w:sz w:val="24"/>
          <w:highlight w:val="none"/>
          <w:lang w:val="en-US" w:eastAsia="zh-CN"/>
        </w:rPr>
        <w:t>2024000</w:t>
      </w:r>
      <w:r>
        <w:rPr>
          <w:rFonts w:hint="eastAsia" w:ascii="宋体" w:hAnsi="宋体" w:eastAsia="宋体" w:cs="宋体"/>
          <w:color w:val="auto"/>
          <w:sz w:val="24"/>
          <w:highlight w:val="none"/>
        </w:rPr>
        <w:t>.00元</w:t>
      </w:r>
    </w:p>
    <w:p w14:paraId="0556137D">
      <w:pPr>
        <w:snapToGrid w:val="0"/>
        <w:spacing w:line="48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2024000</w:t>
      </w:r>
      <w:r>
        <w:rPr>
          <w:rFonts w:hint="eastAsia" w:ascii="宋体" w:hAnsi="宋体" w:eastAsia="宋体" w:cs="宋体"/>
          <w:color w:val="auto"/>
          <w:sz w:val="24"/>
          <w:highlight w:val="none"/>
        </w:rPr>
        <w:t>.00元</w:t>
      </w:r>
    </w:p>
    <w:tbl>
      <w:tblPr>
        <w:tblStyle w:val="15"/>
        <w:tblpPr w:leftFromText="180" w:rightFromText="180" w:vertAnchor="text" w:horzAnchor="page" w:tblpX="1440" w:tblpY="129"/>
        <w:tblOverlap w:val="never"/>
        <w:tblW w:w="9736" w:type="dxa"/>
        <w:tblCellSpacing w:w="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32"/>
        <w:gridCol w:w="1135"/>
        <w:gridCol w:w="953"/>
        <w:gridCol w:w="1905"/>
        <w:gridCol w:w="1266"/>
        <w:gridCol w:w="1532"/>
        <w:gridCol w:w="999"/>
        <w:gridCol w:w="1414"/>
      </w:tblGrid>
      <w:tr w14:paraId="7E932E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892" w:hRule="atLeast"/>
          <w:tblCellSpacing w:w="0" w:type="dxa"/>
        </w:trPr>
        <w:tc>
          <w:tcPr>
            <w:tcW w:w="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373C1D1">
            <w:pPr>
              <w:widowControl/>
              <w:spacing w:line="360" w:lineRule="exact"/>
              <w:jc w:val="center"/>
              <w:rPr>
                <w:rFonts w:hint="eastAsia" w:ascii="宋体" w:hAnsi="宋体" w:eastAsia="宋体" w:cs="宋体"/>
                <w:color w:val="auto"/>
                <w:kern w:val="0"/>
                <w:sz w:val="18"/>
                <w:szCs w:val="18"/>
                <w:highlight w:val="none"/>
              </w:rPr>
            </w:pPr>
            <w:bookmarkStart w:id="18" w:name="OLE_LINK5" w:colFirst="3" w:colLast="68"/>
            <w:bookmarkStart w:id="19" w:name="_Hlk189678457"/>
            <w:bookmarkStart w:id="20" w:name="OLE_LINK4" w:colFirst="3" w:colLast="68"/>
            <w:r>
              <w:rPr>
                <w:rFonts w:hint="eastAsia" w:ascii="宋体" w:hAnsi="宋体" w:eastAsia="宋体" w:cs="宋体"/>
                <w:color w:val="auto"/>
                <w:kern w:val="0"/>
                <w:sz w:val="18"/>
                <w:szCs w:val="18"/>
                <w:highlight w:val="none"/>
              </w:rPr>
              <w:t>序号</w:t>
            </w:r>
          </w:p>
        </w:tc>
        <w:tc>
          <w:tcPr>
            <w:tcW w:w="113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085DCF">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包号</w:t>
            </w:r>
          </w:p>
        </w:tc>
        <w:tc>
          <w:tcPr>
            <w:tcW w:w="95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BC48006">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包名称</w:t>
            </w:r>
          </w:p>
        </w:tc>
        <w:tc>
          <w:tcPr>
            <w:tcW w:w="190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7506FB8">
            <w:pPr>
              <w:widowControl/>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包名称</w:t>
            </w:r>
          </w:p>
        </w:tc>
        <w:tc>
          <w:tcPr>
            <w:tcW w:w="126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D9FDBB5">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包预算（元）</w:t>
            </w:r>
          </w:p>
        </w:tc>
        <w:tc>
          <w:tcPr>
            <w:tcW w:w="1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081CA4F">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包最高限价（元）</w:t>
            </w:r>
          </w:p>
        </w:tc>
        <w:tc>
          <w:tcPr>
            <w:tcW w:w="99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9C856C">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是否专门面向中小企业</w:t>
            </w:r>
          </w:p>
        </w:tc>
        <w:tc>
          <w:tcPr>
            <w:tcW w:w="141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CF8B371">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采购预留金额（元）</w:t>
            </w:r>
          </w:p>
        </w:tc>
      </w:tr>
      <w:tr w14:paraId="55AACA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95" w:hRule="atLeast"/>
          <w:tblCellSpacing w:w="0" w:type="dxa"/>
        </w:trPr>
        <w:tc>
          <w:tcPr>
            <w:tcW w:w="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916753E">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13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2FA57E2">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平公资采</w:t>
            </w:r>
            <w:r>
              <w:rPr>
                <w:rFonts w:hint="eastAsia" w:ascii="宋体" w:hAnsi="宋体" w:eastAsia="宋体" w:cs="宋体"/>
                <w:color w:val="auto"/>
                <w:kern w:val="0"/>
                <w:sz w:val="18"/>
                <w:szCs w:val="18"/>
                <w:highlight w:val="none"/>
                <w:lang w:eastAsia="zh-CN"/>
              </w:rPr>
              <w:t xml:space="preserve">     </w:t>
            </w:r>
            <w:r>
              <w:rPr>
                <w:rFonts w:hint="eastAsia" w:ascii="宋体" w:hAnsi="宋体" w:eastAsia="宋体" w:cs="宋体"/>
                <w:color w:val="auto"/>
                <w:kern w:val="0"/>
                <w:sz w:val="18"/>
                <w:szCs w:val="18"/>
                <w:highlight w:val="none"/>
                <w:lang w:val="en-US" w:eastAsia="zh-CN"/>
              </w:rPr>
              <w:t>2025929</w:t>
            </w:r>
            <w:r>
              <w:rPr>
                <w:rFonts w:hint="eastAsia" w:ascii="宋体" w:hAnsi="宋体" w:eastAsia="宋体" w:cs="宋体"/>
                <w:color w:val="auto"/>
                <w:kern w:val="0"/>
                <w:sz w:val="18"/>
                <w:szCs w:val="18"/>
                <w:highlight w:val="none"/>
              </w:rPr>
              <w:t>号-1</w:t>
            </w:r>
          </w:p>
        </w:tc>
        <w:tc>
          <w:tcPr>
            <w:tcW w:w="95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8DB95E2">
            <w:pPr>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第一标段</w:t>
            </w:r>
          </w:p>
        </w:tc>
        <w:tc>
          <w:tcPr>
            <w:tcW w:w="190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35F7F00">
            <w:pPr>
              <w:widowControl/>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低质低效林改造项目</w:t>
            </w:r>
          </w:p>
        </w:tc>
        <w:tc>
          <w:tcPr>
            <w:tcW w:w="126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62967BC">
            <w:pPr>
              <w:widowControl/>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1164000.00</w:t>
            </w:r>
          </w:p>
        </w:tc>
        <w:tc>
          <w:tcPr>
            <w:tcW w:w="1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361A90">
            <w:pPr>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1164000.00</w:t>
            </w:r>
          </w:p>
        </w:tc>
        <w:tc>
          <w:tcPr>
            <w:tcW w:w="99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556F77">
            <w:pPr>
              <w:spacing w:line="360" w:lineRule="exact"/>
              <w:jc w:val="center"/>
              <w:rPr>
                <w:rFonts w:hint="eastAsia" w:ascii="宋体" w:hAnsi="宋体" w:eastAsia="宋体" w:cs="宋体"/>
                <w:color w:val="auto"/>
                <w:sz w:val="18"/>
                <w:szCs w:val="18"/>
                <w:highlight w:val="none"/>
              </w:rPr>
            </w:pPr>
            <w:bookmarkStart w:id="21" w:name="OLE_LINK9"/>
            <w:bookmarkStart w:id="22" w:name="OLE_LINK10"/>
            <w:r>
              <w:rPr>
                <w:rFonts w:hint="eastAsia" w:ascii="宋体" w:hAnsi="宋体" w:eastAsia="宋体" w:cs="宋体"/>
                <w:color w:val="auto"/>
                <w:sz w:val="18"/>
                <w:szCs w:val="18"/>
                <w:highlight w:val="none"/>
              </w:rPr>
              <w:t>是</w:t>
            </w:r>
            <w:bookmarkEnd w:id="21"/>
            <w:bookmarkEnd w:id="22"/>
          </w:p>
        </w:tc>
        <w:tc>
          <w:tcPr>
            <w:tcW w:w="141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0C7A2D9">
            <w:pPr>
              <w:widowControl/>
              <w:spacing w:line="360" w:lineRule="exact"/>
              <w:jc w:val="center"/>
              <w:rPr>
                <w:rFonts w:hint="eastAsia" w:ascii="宋体" w:hAnsi="宋体" w:eastAsia="宋体" w:cs="宋体"/>
                <w:color w:val="auto"/>
                <w:kern w:val="0"/>
                <w:sz w:val="18"/>
                <w:szCs w:val="18"/>
                <w:highlight w:val="none"/>
                <w:lang w:val="en-US" w:eastAsia="zh-CN" w:bidi="ar"/>
              </w:rPr>
            </w:pPr>
            <w:r>
              <w:rPr>
                <w:rFonts w:ascii="微软雅黑" w:hAnsi="微软雅黑" w:eastAsia="微软雅黑" w:cs="微软雅黑"/>
                <w:i w:val="0"/>
                <w:iCs w:val="0"/>
                <w:caps w:val="0"/>
                <w:color w:val="auto"/>
                <w:spacing w:val="0"/>
                <w:sz w:val="18"/>
                <w:szCs w:val="18"/>
                <w:highlight w:val="none"/>
                <w:shd w:val="clear" w:color="auto" w:fill="FFFFFF"/>
              </w:rPr>
              <w:t>1164000 ，其中小微企业采购金额：1164000</w:t>
            </w:r>
          </w:p>
        </w:tc>
      </w:tr>
      <w:tr w14:paraId="651FD0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610" w:hRule="atLeast"/>
          <w:tblCellSpacing w:w="0" w:type="dxa"/>
        </w:trPr>
        <w:tc>
          <w:tcPr>
            <w:tcW w:w="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EF5715E">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13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922441C">
            <w:pPr>
              <w:widowControl/>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平公资采</w:t>
            </w:r>
            <w:r>
              <w:rPr>
                <w:rFonts w:hint="eastAsia" w:ascii="宋体" w:hAnsi="宋体" w:eastAsia="宋体" w:cs="宋体"/>
                <w:color w:val="auto"/>
                <w:kern w:val="0"/>
                <w:sz w:val="18"/>
                <w:szCs w:val="18"/>
                <w:highlight w:val="none"/>
                <w:lang w:eastAsia="zh-CN"/>
              </w:rPr>
              <w:t xml:space="preserve">     </w:t>
            </w:r>
            <w:r>
              <w:rPr>
                <w:rFonts w:hint="eastAsia" w:ascii="宋体" w:hAnsi="宋体" w:eastAsia="宋体" w:cs="宋体"/>
                <w:color w:val="auto"/>
                <w:kern w:val="0"/>
                <w:sz w:val="18"/>
                <w:szCs w:val="18"/>
                <w:highlight w:val="none"/>
                <w:lang w:val="en-US" w:eastAsia="zh-CN"/>
              </w:rPr>
              <w:t>2025929</w:t>
            </w:r>
            <w:r>
              <w:rPr>
                <w:rFonts w:hint="eastAsia" w:ascii="宋体" w:hAnsi="宋体" w:eastAsia="宋体" w:cs="宋体"/>
                <w:color w:val="auto"/>
                <w:kern w:val="0"/>
                <w:sz w:val="18"/>
                <w:szCs w:val="18"/>
                <w:highlight w:val="none"/>
              </w:rPr>
              <w:t>号-2</w:t>
            </w:r>
          </w:p>
        </w:tc>
        <w:tc>
          <w:tcPr>
            <w:tcW w:w="95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30FAE6">
            <w:pPr>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第二标段</w:t>
            </w:r>
          </w:p>
        </w:tc>
        <w:tc>
          <w:tcPr>
            <w:tcW w:w="190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B674E9A">
            <w:pPr>
              <w:widowControl/>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幼龄林抚育</w:t>
            </w:r>
            <w:r>
              <w:rPr>
                <w:rFonts w:hint="eastAsia" w:ascii="宋体" w:hAnsi="宋体" w:eastAsia="宋体" w:cs="宋体"/>
                <w:color w:val="auto"/>
                <w:sz w:val="18"/>
                <w:szCs w:val="18"/>
                <w:highlight w:val="none"/>
                <w:lang w:val="en-US" w:eastAsia="zh-CN"/>
              </w:rPr>
              <w:t>项目</w:t>
            </w:r>
          </w:p>
        </w:tc>
        <w:tc>
          <w:tcPr>
            <w:tcW w:w="126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3C6DA7">
            <w:pPr>
              <w:widowControl/>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860000.00</w:t>
            </w:r>
          </w:p>
        </w:tc>
        <w:tc>
          <w:tcPr>
            <w:tcW w:w="153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BE32EA1">
            <w:pPr>
              <w:widowControl/>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860000.00</w:t>
            </w:r>
          </w:p>
        </w:tc>
        <w:tc>
          <w:tcPr>
            <w:tcW w:w="99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B90631">
            <w:pPr>
              <w:widowControl/>
              <w:spacing w:line="360" w:lineRule="exact"/>
              <w:jc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rPr>
              <w:t>是</w:t>
            </w:r>
          </w:p>
        </w:tc>
        <w:tc>
          <w:tcPr>
            <w:tcW w:w="141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0107952">
            <w:pPr>
              <w:widowControl/>
              <w:spacing w:line="360" w:lineRule="exact"/>
              <w:jc w:val="center"/>
              <w:rPr>
                <w:rFonts w:hint="eastAsia" w:ascii="宋体" w:hAnsi="宋体" w:eastAsia="宋体" w:cs="宋体"/>
                <w:color w:val="auto"/>
                <w:kern w:val="0"/>
                <w:sz w:val="18"/>
                <w:szCs w:val="18"/>
                <w:highlight w:val="none"/>
                <w:lang w:val="en-US" w:eastAsia="zh-CN" w:bidi="ar"/>
              </w:rPr>
            </w:pPr>
            <w:r>
              <w:rPr>
                <w:rFonts w:ascii="微软雅黑" w:hAnsi="微软雅黑" w:eastAsia="微软雅黑" w:cs="微软雅黑"/>
                <w:i w:val="0"/>
                <w:iCs w:val="0"/>
                <w:caps w:val="0"/>
                <w:color w:val="auto"/>
                <w:spacing w:val="0"/>
                <w:sz w:val="18"/>
                <w:szCs w:val="18"/>
                <w:highlight w:val="none"/>
                <w:shd w:val="clear" w:color="auto" w:fill="FFFFFF"/>
              </w:rPr>
              <w:t>860000 ，其中小微企业采购金额：860000</w:t>
            </w:r>
          </w:p>
        </w:tc>
      </w:tr>
      <w:bookmarkEnd w:id="18"/>
      <w:bookmarkEnd w:id="19"/>
      <w:bookmarkEnd w:id="20"/>
    </w:tbl>
    <w:p w14:paraId="0018C474">
      <w:pPr>
        <w:snapToGrid w:val="0"/>
        <w:spacing w:line="480" w:lineRule="exact"/>
        <w:ind w:firstLine="480" w:firstLineChars="200"/>
        <w:rPr>
          <w:rFonts w:hint="eastAsia" w:ascii="宋体" w:hAnsi="宋体" w:eastAsia="宋体" w:cs="宋体"/>
          <w:color w:val="auto"/>
          <w:sz w:val="24"/>
          <w:highlight w:val="none"/>
        </w:rPr>
      </w:pPr>
    </w:p>
    <w:p w14:paraId="51975189">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5、采购需求（包括但不限于标的的名称、数量、简要技术需求或服务要求等）：</w:t>
      </w:r>
    </w:p>
    <w:p w14:paraId="549D369B">
      <w:pPr>
        <w:snapToGrid w:val="0"/>
        <w:spacing w:line="480" w:lineRule="exact"/>
        <w:ind w:firstLine="480" w:firstLineChars="200"/>
        <w:rPr>
          <w:rFonts w:hint="eastAsia" w:ascii="宋体" w:hAnsi="宋体" w:eastAsia="宋体" w:cs="宋体"/>
          <w:color w:val="auto"/>
          <w:sz w:val="24"/>
          <w:highlight w:val="none"/>
        </w:rPr>
      </w:pPr>
      <w:bookmarkStart w:id="23" w:name="OLE_LINK22"/>
      <w:bookmarkStart w:id="24" w:name="OLE_LINK32"/>
      <w:bookmarkStart w:id="25" w:name="OLE_LINK29"/>
      <w:bookmarkStart w:id="26" w:name="OLE_LINK21"/>
      <w:r>
        <w:rPr>
          <w:rFonts w:hint="eastAsia" w:ascii="宋体" w:hAnsi="宋体" w:eastAsia="宋体" w:cs="宋体"/>
          <w:color w:val="auto"/>
          <w:sz w:val="24"/>
          <w:highlight w:val="none"/>
        </w:rPr>
        <w:t>5.1、项目情况:</w:t>
      </w:r>
      <w:bookmarkStart w:id="27" w:name="OLE_LINK3"/>
      <w:r>
        <w:rPr>
          <w:rFonts w:hint="eastAsia" w:ascii="宋体" w:hAnsi="宋体" w:eastAsia="宋体" w:cs="宋体"/>
          <w:color w:val="auto"/>
          <w:sz w:val="24"/>
          <w:highlight w:val="none"/>
        </w:rPr>
        <w:t xml:space="preserve"> 国有鲁山林场地处河南省平顶山市鲁山县，本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规划设计森林可持续经营项目总面积3256.3亩，其中幼龄林抚育2016.5亩，可持续经营模式为疏伐+人工促进天然更新;低效林改造1239.8亩，可持续经营模式为间伐+补植</w:t>
      </w:r>
    </w:p>
    <w:p w14:paraId="0EB6882F">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5.2、质量要求：</w:t>
      </w:r>
      <w:bookmarkStart w:id="28" w:name="OLE_LINK7"/>
      <w:bookmarkStart w:id="29" w:name="OLE_LINK6"/>
      <w:r>
        <w:rPr>
          <w:rFonts w:hint="eastAsia" w:ascii="宋体" w:hAnsi="宋体" w:eastAsia="宋体" w:cs="宋体"/>
          <w:color w:val="auto"/>
          <w:sz w:val="24"/>
          <w:highlight w:val="none"/>
        </w:rPr>
        <w:t>符合现行国家或行业有关规定、标准、规范的要求</w:t>
      </w:r>
      <w:bookmarkEnd w:id="27"/>
      <w:bookmarkEnd w:id="28"/>
      <w:bookmarkEnd w:id="29"/>
      <w:r>
        <w:rPr>
          <w:rFonts w:hint="eastAsia" w:ascii="宋体" w:hAnsi="宋体" w:eastAsia="宋体" w:cs="宋体"/>
          <w:color w:val="auto"/>
          <w:sz w:val="24"/>
          <w:highlight w:val="none"/>
        </w:rPr>
        <w:t>。</w:t>
      </w:r>
    </w:p>
    <w:p w14:paraId="383CE922">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5.3、服务期：30日历天 </w:t>
      </w:r>
      <w:r>
        <w:rPr>
          <w:rFonts w:hint="eastAsia" w:ascii="宋体" w:hAnsi="宋体" w:eastAsia="宋体" w:cs="宋体"/>
          <w:color w:val="auto"/>
          <w:sz w:val="24"/>
          <w:highlight w:val="none"/>
          <w:lang w:eastAsia="zh-CN"/>
        </w:rPr>
        <w:t>。</w:t>
      </w:r>
    </w:p>
    <w:p w14:paraId="35E60A45">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5.4、服务地点：采购人指定地点</w:t>
      </w:r>
      <w:r>
        <w:rPr>
          <w:rFonts w:hint="eastAsia" w:ascii="宋体" w:hAnsi="宋体" w:eastAsia="宋体" w:cs="宋体"/>
          <w:color w:val="auto"/>
          <w:sz w:val="24"/>
          <w:highlight w:val="none"/>
          <w:lang w:eastAsia="zh-CN"/>
        </w:rPr>
        <w:t>。</w:t>
      </w:r>
    </w:p>
    <w:p w14:paraId="41CB08CA">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5.5、采购内容：采购人发包的全部内容。</w:t>
      </w:r>
    </w:p>
    <w:p w14:paraId="2CC47C5D">
      <w:pPr>
        <w:snapToGrid w:val="0"/>
        <w:spacing w:line="480" w:lineRule="exact"/>
        <w:ind w:firstLine="480" w:firstLineChars="200"/>
        <w:rPr>
          <w:rFonts w:hint="eastAsia" w:ascii="宋体" w:hAnsi="宋体" w:eastAsia="新宋体" w:cs="宋体"/>
          <w:color w:val="auto"/>
          <w:sz w:val="24"/>
          <w:highlight w:val="none"/>
          <w:lang w:eastAsia="zh-CN"/>
        </w:rPr>
      </w:pPr>
      <w:r>
        <w:rPr>
          <w:rFonts w:hint="eastAsia" w:ascii="宋体" w:hAnsi="宋体" w:eastAsia="宋体" w:cs="宋体"/>
          <w:color w:val="auto"/>
          <w:sz w:val="24"/>
          <w:highlight w:val="none"/>
        </w:rPr>
        <w:t>5.6、验收标准：</w:t>
      </w:r>
      <w:r>
        <w:rPr>
          <w:rFonts w:hint="eastAsia" w:ascii="新宋体" w:hAnsi="新宋体" w:eastAsia="新宋体" w:cs="新宋体"/>
          <w:color w:val="auto"/>
          <w:sz w:val="24"/>
          <w:highlight w:val="none"/>
        </w:rPr>
        <w:t>按照现行国家或行业有关规定、标准及本项目作业设计标准进行验收</w:t>
      </w:r>
      <w:r>
        <w:rPr>
          <w:rFonts w:hint="eastAsia" w:ascii="新宋体" w:hAnsi="新宋体" w:eastAsia="新宋体" w:cs="新宋体"/>
          <w:color w:val="auto"/>
          <w:sz w:val="24"/>
          <w:highlight w:val="none"/>
          <w:lang w:eastAsia="zh-CN"/>
        </w:rPr>
        <w:t>。</w:t>
      </w:r>
    </w:p>
    <w:p w14:paraId="4BAC10A1">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5.7、本项目标段划分：共划分</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个标段</w:t>
      </w:r>
      <w:r>
        <w:rPr>
          <w:rFonts w:hint="eastAsia" w:ascii="宋体" w:hAnsi="宋体" w:eastAsia="宋体" w:cs="宋体"/>
          <w:color w:val="auto"/>
          <w:sz w:val="24"/>
          <w:highlight w:val="none"/>
          <w:lang w:eastAsia="zh-CN"/>
        </w:rPr>
        <w:t>。</w:t>
      </w:r>
    </w:p>
    <w:bookmarkEnd w:id="23"/>
    <w:bookmarkEnd w:id="24"/>
    <w:bookmarkEnd w:id="25"/>
    <w:bookmarkEnd w:id="26"/>
    <w:p w14:paraId="0DC84A9D">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6、合同履行期限：30日历天。</w:t>
      </w:r>
    </w:p>
    <w:p w14:paraId="259CB9A5">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7、本项目是否接受联合体投标：否</w:t>
      </w:r>
      <w:r>
        <w:rPr>
          <w:rFonts w:hint="eastAsia" w:ascii="宋体" w:hAnsi="宋体" w:eastAsia="宋体" w:cs="宋体"/>
          <w:color w:val="auto"/>
          <w:sz w:val="24"/>
          <w:highlight w:val="none"/>
          <w:lang w:eastAsia="zh-CN"/>
        </w:rPr>
        <w:t>。</w:t>
      </w:r>
    </w:p>
    <w:p w14:paraId="70007DEA">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8、是否接受进口产品：否</w:t>
      </w:r>
      <w:r>
        <w:rPr>
          <w:rFonts w:hint="eastAsia" w:ascii="宋体" w:hAnsi="宋体" w:eastAsia="宋体" w:cs="宋体"/>
          <w:color w:val="auto"/>
          <w:sz w:val="24"/>
          <w:highlight w:val="none"/>
          <w:lang w:eastAsia="zh-CN"/>
        </w:rPr>
        <w:t>。</w:t>
      </w:r>
    </w:p>
    <w:p w14:paraId="264021C0">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9、是否专门面向中小企业：是</w:t>
      </w:r>
      <w:r>
        <w:rPr>
          <w:rFonts w:hint="eastAsia" w:ascii="宋体" w:hAnsi="宋体" w:eastAsia="宋体" w:cs="宋体"/>
          <w:color w:val="auto"/>
          <w:sz w:val="24"/>
          <w:highlight w:val="none"/>
          <w:lang w:eastAsia="zh-CN"/>
        </w:rPr>
        <w:t>。</w:t>
      </w:r>
    </w:p>
    <w:p w14:paraId="342B48E7">
      <w:pPr>
        <w:snapToGrid w:val="0"/>
        <w:spacing w:line="480" w:lineRule="exact"/>
        <w:rPr>
          <w:rFonts w:hint="eastAsia" w:ascii="宋体" w:hAnsi="宋体" w:eastAsia="宋体" w:cs="宋体"/>
          <w:b/>
          <w:bCs/>
          <w:color w:val="auto"/>
          <w:sz w:val="24"/>
          <w:highlight w:val="none"/>
        </w:rPr>
      </w:pPr>
      <w:bookmarkStart w:id="30" w:name="_Toc28359003"/>
      <w:bookmarkStart w:id="31" w:name="_Toc28359080"/>
      <w:bookmarkStart w:id="32" w:name="_Toc35393791"/>
      <w:bookmarkStart w:id="33" w:name="_Toc35393622"/>
      <w:r>
        <w:rPr>
          <w:rFonts w:hint="eastAsia" w:ascii="宋体" w:hAnsi="宋体" w:eastAsia="宋体" w:cs="宋体"/>
          <w:b/>
          <w:bCs/>
          <w:color w:val="auto"/>
          <w:sz w:val="24"/>
          <w:highlight w:val="none"/>
        </w:rPr>
        <w:t>二、申请人的资格要求：</w:t>
      </w:r>
      <w:bookmarkEnd w:id="30"/>
      <w:bookmarkEnd w:id="31"/>
      <w:bookmarkEnd w:id="32"/>
      <w:bookmarkEnd w:id="33"/>
    </w:p>
    <w:p w14:paraId="4D143828">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15945ADC">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2、落实政府采购政策满足的资格要求：根据《政府采购促进中小企业发展管理办法》（财库[2020]46号）的规定，本项目专门面向小微企业采购，须提供相关有效声明材料等。</w:t>
      </w:r>
    </w:p>
    <w:p w14:paraId="4A9C70D5">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00B8A1D0">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3.1符合《中华人民共和国政府采购法》第二十二条的规定</w:t>
      </w:r>
    </w:p>
    <w:p w14:paraId="6C0EF547">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1)具有独立承担民事责任的能力；（提供有效的营业执照扫描件，也可提供电子营业执照</w:t>
      </w:r>
      <w:r>
        <w:rPr>
          <w:rFonts w:hint="eastAsia" w:ascii="宋体" w:hAnsi="宋体" w:eastAsia="宋体" w:cs="宋体"/>
          <w:color w:val="auto"/>
          <w:spacing w:val="9"/>
          <w:sz w:val="24"/>
          <w:szCs w:val="24"/>
          <w:highlight w:val="none"/>
        </w:rPr>
        <w:t>或资格认定材料</w:t>
      </w:r>
      <w:r>
        <w:rPr>
          <w:rFonts w:hint="eastAsia" w:ascii="宋体" w:hAnsi="宋体" w:eastAsia="宋体" w:cs="宋体"/>
          <w:color w:val="auto"/>
          <w:sz w:val="24"/>
          <w:highlight w:val="none"/>
        </w:rPr>
        <w:t>）。</w:t>
      </w:r>
    </w:p>
    <w:p w14:paraId="67DA37FD">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自行承诺，格式自拟）。</w:t>
      </w:r>
    </w:p>
    <w:p w14:paraId="39AA1FF3">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具有履行合同所必需的设备和专业技术能力（</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自行承诺，格式自拟）。</w:t>
      </w:r>
    </w:p>
    <w:p w14:paraId="1CF012BE">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具有依法缴纳税收和社会保障资金的良好记录（</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自行承诺，格式自拟）。</w:t>
      </w:r>
    </w:p>
    <w:p w14:paraId="67032EC4">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5)参加政府采购活动前三年内，在经营活动中没有重大违法记录的声明（提供承诺书,格式自拟)。</w:t>
      </w:r>
    </w:p>
    <w:p w14:paraId="370C0D4F">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信誉要求：提供“信用中国”网站的“失信被执行人”（自动跳转至“中国执行信息公开网”）和“重大税收违法失信主体”、“中国政府采购网”网站的“政府采购严重违法失信行为记录名单”查询结果页面，若有不良记录，则投标无效(查询时间为公告发布之日至投标截止时间前任意时间)。</w:t>
      </w:r>
    </w:p>
    <w:p w14:paraId="154A91D7">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所提供资料必须真实有效并提供资料真实有效承诺书，并愿意承担因就提供虚假资料随时视为放弃中标资格并承担由此引起的一切不良和法律后果（需出具承诺书，格式自拟）。</w:t>
      </w:r>
    </w:p>
    <w:p w14:paraId="27883118">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3.4本项目不接受联合体投标，不允许转包和分包。</w:t>
      </w:r>
    </w:p>
    <w:p w14:paraId="29051971">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3.5本项目一个投标人可投一个标段。</w:t>
      </w:r>
    </w:p>
    <w:p w14:paraId="3BA20B18">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 本项目采用资格后审。</w:t>
      </w:r>
    </w:p>
    <w:p w14:paraId="730FDCF2">
      <w:pPr>
        <w:snapToGrid w:val="0"/>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p>
    <w:p w14:paraId="300C6E19">
      <w:pPr>
        <w:snapToGrid w:val="0"/>
        <w:spacing w:line="460" w:lineRule="exact"/>
        <w:ind w:firstLine="480" w:firstLineChars="200"/>
        <w:rPr>
          <w:rFonts w:hint="eastAsia" w:ascii="宋体" w:hAnsi="宋体" w:eastAsia="宋体" w:cs="宋体"/>
          <w:color w:val="auto"/>
          <w:sz w:val="24"/>
          <w:highlight w:val="none"/>
        </w:rPr>
      </w:pPr>
      <w:bookmarkStart w:id="34" w:name="_Toc28359082"/>
      <w:bookmarkStart w:id="35" w:name="_Toc28359005"/>
      <w:bookmarkStart w:id="36" w:name="_Toc35393793"/>
      <w:bookmarkStart w:id="37" w:name="_Toc35393624"/>
      <w:r>
        <w:rPr>
          <w:rFonts w:hint="eastAsia" w:ascii="宋体" w:hAnsi="宋体" w:eastAsia="宋体" w:cs="宋体"/>
          <w:color w:val="auto"/>
          <w:sz w:val="24"/>
          <w:highlight w:val="none"/>
        </w:rPr>
        <w:t>1、时间：202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22 </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10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日，每天上午00:00至12:00，下午12:00至23:59（北京时间）</w:t>
      </w:r>
    </w:p>
    <w:p w14:paraId="1A2DBF28">
      <w:pPr>
        <w:snapToGrid w:val="0"/>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2、地点：平顶山市公共资源交易中心电子</w:t>
      </w:r>
      <w:r>
        <w:rPr>
          <w:rFonts w:hint="eastAsia" w:ascii="宋体" w:hAnsi="宋体" w:eastAsia="宋体" w:cs="宋体"/>
          <w:color w:val="auto"/>
          <w:sz w:val="24"/>
          <w:highlight w:val="none"/>
          <w:lang w:val="en-US" w:eastAsia="zh-CN"/>
        </w:rPr>
        <w:t>化</w:t>
      </w:r>
      <w:r>
        <w:rPr>
          <w:rFonts w:hint="eastAsia" w:ascii="宋体" w:hAnsi="宋体" w:eastAsia="宋体" w:cs="宋体"/>
          <w:color w:val="auto"/>
          <w:sz w:val="24"/>
          <w:highlight w:val="none"/>
        </w:rPr>
        <w:t>交易系统</w:t>
      </w:r>
    </w:p>
    <w:p w14:paraId="48E6C9AF">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3、方式：潜在投标人需凭CA数字证书通过《全国公共资源交易平台（河南省·平顶山市）》“不见面开标”入口进入交易系统进行下载文件。具体操作请查看以下链接：</w:t>
      </w:r>
    </w:p>
    <w:p w14:paraId="4ED3C531">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链接地址：http://ggzy.pds.gov.cn/fwzn/11020.jhtml</w:t>
      </w:r>
    </w:p>
    <w:p w14:paraId="78934D48">
      <w:pPr>
        <w:bidi w:val="0"/>
        <w:rPr>
          <w:rFonts w:hint="default" w:eastAsia="宋体"/>
          <w:lang w:val="en-US" w:eastAsia="zh-CN"/>
        </w:rPr>
      </w:pPr>
      <w:r>
        <w:rPr>
          <w:rFonts w:hint="eastAsia"/>
          <w:lang w:val="en-US" w:eastAsia="zh-CN"/>
        </w:rPr>
        <w:t xml:space="preserve">     </w:t>
      </w:r>
      <w:r>
        <w:rPr>
          <w:rFonts w:hint="eastAsia" w:ascii="宋体" w:hAnsi="宋体" w:eastAsia="宋体" w:cs="宋体"/>
          <w:sz w:val="24"/>
          <w:szCs w:val="24"/>
          <w:lang w:val="en-US" w:eastAsia="zh-CN"/>
        </w:rPr>
        <w:t>办理CA证书：http://ggzy.pds,gov.cov.cn/tzgg/10814.jhtml</w:t>
      </w:r>
    </w:p>
    <w:p w14:paraId="73C99658">
      <w:pPr>
        <w:spacing w:line="480" w:lineRule="exact"/>
        <w:ind w:left="479" w:leftChars="228"/>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4、售价：0元</w:t>
      </w:r>
    </w:p>
    <w:p w14:paraId="4B22BA2F">
      <w:pPr>
        <w:snapToGrid w:val="0"/>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w:t>
      </w:r>
      <w:bookmarkEnd w:id="34"/>
      <w:bookmarkEnd w:id="35"/>
      <w:r>
        <w:rPr>
          <w:rFonts w:hint="eastAsia" w:ascii="宋体" w:hAnsi="宋体" w:eastAsia="宋体" w:cs="宋体"/>
          <w:b/>
          <w:bCs/>
          <w:color w:val="auto"/>
          <w:sz w:val="24"/>
          <w:highlight w:val="none"/>
        </w:rPr>
        <w:t>截止时间和地点</w:t>
      </w:r>
      <w:bookmarkEnd w:id="36"/>
      <w:bookmarkEnd w:id="37"/>
    </w:p>
    <w:p w14:paraId="68FAE344">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时间:2025年</w:t>
      </w:r>
      <w:r>
        <w:rPr>
          <w:rFonts w:hint="eastAsia" w:ascii="宋体" w:hAnsi="宋体" w:eastAsia="宋体" w:cs="宋体"/>
          <w:color w:val="auto"/>
          <w:sz w:val="24"/>
          <w:highlight w:val="none"/>
          <w:lang w:val="en-US" w:eastAsia="zh-CN"/>
        </w:rPr>
        <w:t xml:space="preserve"> 10</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lang w:val="en-US" w:eastAsia="zh-CN"/>
        </w:rPr>
        <w:t xml:space="preserve"> 13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时</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 分（北京时间）</w:t>
      </w:r>
    </w:p>
    <w:p w14:paraId="16FD98C6">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地点：平顶山市公共资源交易中心电子</w:t>
      </w:r>
      <w:r>
        <w:rPr>
          <w:rFonts w:hint="eastAsia" w:ascii="宋体" w:hAnsi="宋体" w:eastAsia="宋体" w:cs="宋体"/>
          <w:color w:val="auto"/>
          <w:sz w:val="24"/>
          <w:highlight w:val="none"/>
          <w:lang w:val="en-US" w:eastAsia="zh-CN"/>
        </w:rPr>
        <w:t>化</w:t>
      </w:r>
      <w:r>
        <w:rPr>
          <w:rFonts w:hint="eastAsia" w:ascii="宋体" w:hAnsi="宋体" w:eastAsia="宋体" w:cs="宋体"/>
          <w:color w:val="auto"/>
          <w:sz w:val="24"/>
          <w:highlight w:val="none"/>
        </w:rPr>
        <w:t>交易系统</w:t>
      </w:r>
    </w:p>
    <w:p w14:paraId="7635A8AD">
      <w:pPr>
        <w:snapToGrid w:val="0"/>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五、开标时间和地点</w:t>
      </w:r>
    </w:p>
    <w:p w14:paraId="3E3F5F70">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时间：2025年</w:t>
      </w:r>
      <w:r>
        <w:rPr>
          <w:rFonts w:hint="eastAsia" w:ascii="宋体" w:hAnsi="宋体" w:eastAsia="宋体" w:cs="宋体"/>
          <w:color w:val="auto"/>
          <w:sz w:val="24"/>
          <w:highlight w:val="none"/>
          <w:lang w:val="en-US" w:eastAsia="zh-CN"/>
        </w:rPr>
        <w:t xml:space="preserve">10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13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时</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 分（北京时间）</w:t>
      </w:r>
    </w:p>
    <w:p w14:paraId="35348226">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地点：平顶山市公共资源交易中心电子交易系统。</w:t>
      </w:r>
    </w:p>
    <w:p w14:paraId="4D460278">
      <w:pPr>
        <w:snapToGrid w:val="0"/>
        <w:spacing w:line="480" w:lineRule="exact"/>
        <w:rPr>
          <w:rFonts w:hint="eastAsia" w:ascii="宋体" w:hAnsi="宋体" w:eastAsia="宋体" w:cs="宋体"/>
          <w:b/>
          <w:bCs/>
          <w:color w:val="auto"/>
          <w:sz w:val="24"/>
          <w:highlight w:val="none"/>
        </w:rPr>
      </w:pPr>
      <w:bookmarkStart w:id="38" w:name="_Toc28359084"/>
      <w:bookmarkStart w:id="39" w:name="_Toc35393794"/>
      <w:bookmarkStart w:id="40" w:name="_Toc35393625"/>
      <w:bookmarkStart w:id="41" w:name="_Toc28359007"/>
      <w:r>
        <w:rPr>
          <w:rFonts w:hint="eastAsia" w:ascii="宋体" w:hAnsi="宋体" w:eastAsia="宋体" w:cs="宋体"/>
          <w:b/>
          <w:bCs/>
          <w:color w:val="auto"/>
          <w:sz w:val="24"/>
          <w:highlight w:val="none"/>
        </w:rPr>
        <w:t>六、</w:t>
      </w:r>
      <w:bookmarkEnd w:id="38"/>
      <w:bookmarkEnd w:id="39"/>
      <w:bookmarkEnd w:id="40"/>
      <w:bookmarkEnd w:id="41"/>
      <w:r>
        <w:rPr>
          <w:rFonts w:hint="eastAsia" w:ascii="宋体" w:hAnsi="宋体" w:eastAsia="宋体" w:cs="宋体"/>
          <w:b/>
          <w:bCs/>
          <w:color w:val="auto"/>
          <w:sz w:val="24"/>
          <w:highlight w:val="none"/>
        </w:rPr>
        <w:t>发布公告的媒介及招标公告期限</w:t>
      </w:r>
    </w:p>
    <w:p w14:paraId="07E7CB6D">
      <w:pPr>
        <w:snapToGrid w:val="0"/>
        <w:spacing w:line="480" w:lineRule="exact"/>
        <w:ind w:firstLine="480" w:firstLineChars="200"/>
        <w:rPr>
          <w:rFonts w:hint="eastAsia" w:ascii="宋体" w:hAnsi="宋体" w:eastAsia="宋体" w:cs="宋体"/>
          <w:color w:val="auto"/>
          <w:sz w:val="24"/>
          <w:highlight w:val="none"/>
        </w:rPr>
      </w:pPr>
      <w:bookmarkStart w:id="42" w:name="_Toc35393626"/>
      <w:bookmarkStart w:id="43" w:name="_Toc35393795"/>
      <w:r>
        <w:rPr>
          <w:rFonts w:hint="eastAsia" w:ascii="宋体" w:hAnsi="宋体" w:eastAsia="宋体" w:cs="宋体"/>
          <w:color w:val="auto"/>
          <w:sz w:val="24"/>
          <w:highlight w:val="none"/>
        </w:rPr>
        <w:t>本次公告同时在《河南省政府采购网》、《平顶山市政府采购网》、《鲁山县政府采购网》、《全国公共资源交易平台（河南省·平顶山市）》上发布。</w:t>
      </w:r>
    </w:p>
    <w:p w14:paraId="6A1C7548">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招标公告期限为五个工作日。</w:t>
      </w:r>
    </w:p>
    <w:p w14:paraId="5C11ECCD">
      <w:pPr>
        <w:snapToGrid w:val="0"/>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七、其他补充事宜</w:t>
      </w:r>
      <w:bookmarkEnd w:id="42"/>
      <w:bookmarkEnd w:id="43"/>
    </w:p>
    <w:p w14:paraId="6190617E">
      <w:pPr>
        <w:snapToGrid w:val="0"/>
        <w:spacing w:line="480" w:lineRule="exact"/>
        <w:ind w:firstLine="480" w:firstLineChars="200"/>
        <w:rPr>
          <w:rFonts w:hint="eastAsia" w:ascii="宋体" w:hAnsi="宋体" w:eastAsia="宋体" w:cs="宋体"/>
          <w:color w:val="auto"/>
          <w:sz w:val="24"/>
          <w:highlight w:val="none"/>
        </w:rPr>
      </w:pPr>
      <w:bookmarkStart w:id="44" w:name="OLE_LINK45"/>
      <w:bookmarkStart w:id="45" w:name="OLE_LINK44"/>
      <w:bookmarkStart w:id="46" w:name="_Toc35393627"/>
      <w:bookmarkStart w:id="47" w:name="_Toc35393796"/>
      <w:bookmarkStart w:id="48" w:name="_Toc28359085"/>
      <w:bookmarkStart w:id="49" w:name="_Toc28359008"/>
      <w:r>
        <w:rPr>
          <w:rFonts w:hint="eastAsia" w:ascii="宋体" w:hAnsi="宋体" w:eastAsia="宋体" w:cs="宋体"/>
          <w:color w:val="auto"/>
          <w:sz w:val="24"/>
          <w:highlight w:val="none"/>
        </w:rPr>
        <w:t>1. 各投标投标人可凭借CA数字证书，登录平顶山市公共资源交易平台，在系统内进行在线质疑（异议）、投诉，各招标人（代理机构）、行政监督部门可针对在线质疑（异议）、投诉进行在线答复。</w:t>
      </w:r>
    </w:p>
    <w:p w14:paraId="23AEDC6B">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2、该公告已同步至“平顶山市公共资源交易中心微信公众号”，可通过公众号中的服务栏目进行查阅。</w:t>
      </w:r>
    </w:p>
    <w:p w14:paraId="586BC130">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全面实行在线“不见面”开标，供应商远程在线解密投标文件，不再到开标现场，供应商开标前应仔细阅读《“不见面”开标注意事项及操作流程》。</w:t>
      </w:r>
    </w:p>
    <w:p w14:paraId="140ABD44">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4、监督单位：鲁山县财政局</w:t>
      </w:r>
    </w:p>
    <w:p w14:paraId="717F8E36">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统一社会信用代码：11410423005487188A</w:t>
      </w:r>
    </w:p>
    <w:p w14:paraId="2388C68B">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联系方式：0375-5057526</w:t>
      </w:r>
    </w:p>
    <w:bookmarkEnd w:id="44"/>
    <w:bookmarkEnd w:id="45"/>
    <w:p w14:paraId="74F7B441">
      <w:pPr>
        <w:snapToGrid w:val="0"/>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八、对本次招标提出询问，请按以下方式联系。</w:t>
      </w:r>
      <w:bookmarkEnd w:id="46"/>
      <w:bookmarkEnd w:id="47"/>
      <w:bookmarkEnd w:id="48"/>
      <w:bookmarkEnd w:id="49"/>
    </w:p>
    <w:p w14:paraId="43753AC8">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33EC4385">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称：国有鲁山林场</w:t>
      </w:r>
    </w:p>
    <w:p w14:paraId="0FF11D2B">
      <w:pPr>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bookmarkStart w:id="50" w:name="OLE_LINK14"/>
      <w:bookmarkStart w:id="51" w:name="OLE_LINK15"/>
      <w:r>
        <w:rPr>
          <w:rFonts w:hint="eastAsia" w:ascii="宋体" w:hAnsi="宋体" w:eastAsia="宋体" w:cs="宋体"/>
          <w:color w:val="auto"/>
          <w:sz w:val="24"/>
          <w:highlight w:val="none"/>
        </w:rPr>
        <w:t>赵</w:t>
      </w:r>
      <w:bookmarkEnd w:id="50"/>
      <w:bookmarkEnd w:id="51"/>
      <w:r>
        <w:rPr>
          <w:rFonts w:hint="eastAsia" w:ascii="宋体" w:hAnsi="宋体" w:eastAsia="宋体" w:cs="宋体"/>
          <w:color w:val="auto"/>
          <w:sz w:val="24"/>
          <w:highlight w:val="none"/>
          <w:lang w:val="en-US" w:eastAsia="zh-CN"/>
        </w:rPr>
        <w:t>磊</w:t>
      </w:r>
    </w:p>
    <w:p w14:paraId="0A7EFCD8">
      <w:pPr>
        <w:snapToGrid w:val="0"/>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bookmarkStart w:id="52" w:name="OLE_LINK41"/>
      <w:r>
        <w:rPr>
          <w:rFonts w:hint="eastAsia" w:ascii="宋体" w:hAnsi="宋体" w:eastAsia="宋体" w:cs="宋体"/>
          <w:color w:val="auto"/>
          <w:sz w:val="24"/>
          <w:highlight w:val="none"/>
          <w:lang w:val="en-US" w:eastAsia="zh-CN"/>
        </w:rPr>
        <w:t>13837575755</w:t>
      </w:r>
    </w:p>
    <w:bookmarkEnd w:id="52"/>
    <w:p w14:paraId="703D3B98">
      <w:pPr>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53" w:name="OLE_LINK40"/>
      <w:bookmarkStart w:id="54" w:name="OLE_LINK24"/>
      <w:bookmarkStart w:id="55" w:name="OLE_LINK23"/>
      <w:bookmarkStart w:id="56" w:name="OLE_LINK35"/>
      <w:bookmarkStart w:id="57" w:name="OLE_LINK33"/>
      <w:bookmarkStart w:id="58" w:name="OLE_LINK42"/>
      <w:r>
        <w:rPr>
          <w:rFonts w:hint="eastAsia" w:ascii="宋体" w:hAnsi="宋体" w:eastAsia="宋体" w:cs="宋体"/>
          <w:color w:val="auto"/>
          <w:sz w:val="24"/>
          <w:highlight w:val="none"/>
        </w:rPr>
        <w:t>平顶山市鲁山县花园路与鲁阳路交叉路口往东北约100米</w:t>
      </w:r>
      <w:bookmarkEnd w:id="53"/>
      <w:bookmarkEnd w:id="54"/>
      <w:bookmarkEnd w:id="55"/>
    </w:p>
    <w:bookmarkEnd w:id="56"/>
    <w:bookmarkEnd w:id="57"/>
    <w:bookmarkEnd w:id="58"/>
    <w:p w14:paraId="45E4D547">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22E2E585">
      <w:pPr>
        <w:snapToGrid w:val="0"/>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河南省亿达工程管理咨询有限公司</w:t>
      </w:r>
    </w:p>
    <w:p w14:paraId="753F592D">
      <w:pPr>
        <w:snapToGrid w:val="0"/>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河南自贸试验区郑州片区（金水）柳东路9-3P号240025</w:t>
      </w:r>
    </w:p>
    <w:p w14:paraId="392E94BD">
      <w:pPr>
        <w:snapToGrid w:val="0"/>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马</w:t>
      </w:r>
      <w:r>
        <w:rPr>
          <w:rFonts w:hint="eastAsia" w:ascii="宋体" w:hAnsi="宋体" w:eastAsia="宋体" w:cs="宋体"/>
          <w:color w:val="auto"/>
          <w:sz w:val="24"/>
          <w:highlight w:val="none"/>
          <w:lang w:val="en-US" w:eastAsia="zh-CN"/>
        </w:rPr>
        <w:t>帅军</w:t>
      </w:r>
    </w:p>
    <w:p w14:paraId="3D182B67">
      <w:pPr>
        <w:snapToGrid w:val="0"/>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13949037203</w:t>
      </w:r>
    </w:p>
    <w:p w14:paraId="134E74EA">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52262D6E">
      <w:pPr>
        <w:snapToGrid w:val="0"/>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马</w:t>
      </w:r>
      <w:r>
        <w:rPr>
          <w:rFonts w:hint="eastAsia" w:ascii="宋体" w:hAnsi="宋体" w:eastAsia="宋体" w:cs="宋体"/>
          <w:color w:val="auto"/>
          <w:sz w:val="24"/>
          <w:highlight w:val="none"/>
          <w:lang w:val="en-US" w:eastAsia="zh-CN"/>
        </w:rPr>
        <w:t>帅军</w:t>
      </w:r>
    </w:p>
    <w:p w14:paraId="2504A6DE">
      <w:pPr>
        <w:snapToGrid w:val="0"/>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13949037203</w:t>
      </w:r>
    </w:p>
    <w:p w14:paraId="17C00CF0">
      <w:pPr>
        <w:snapToGrid w:val="0"/>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2025年9月18 日</w:t>
      </w:r>
    </w:p>
    <w:p w14:paraId="5B9A62F1">
      <w:pPr>
        <w:snapToGrid w:val="0"/>
        <w:spacing w:line="480" w:lineRule="exact"/>
        <w:ind w:firstLine="480" w:firstLineChars="200"/>
        <w:rPr>
          <w:rFonts w:hint="eastAsia" w:ascii="宋体" w:hAnsi="宋体" w:eastAsia="宋体" w:cs="宋体"/>
          <w:color w:val="auto"/>
          <w:sz w:val="24"/>
          <w:highlight w:val="none"/>
        </w:rPr>
      </w:pPr>
    </w:p>
    <w:p w14:paraId="38C6A3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其他事项：</w:t>
      </w:r>
    </w:p>
    <w:p w14:paraId="2E6CC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rPr>
        <w:t>）、供应商应仔细阅读操作手册，在本公告中要求的截止时间前完成网上报名，因供应商操作不当造成的无法报名、无法下载招标文件、无法投标等一切后果，由供应商自行承担。</w:t>
      </w:r>
    </w:p>
    <w:p w14:paraId="74D86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rPr>
        <w:t>）、招标文件费不收取，报名后才能下载招标文件。</w:t>
      </w:r>
    </w:p>
    <w:p w14:paraId="1AF9B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rPr>
        <w:t>3</w:t>
      </w:r>
      <w:r>
        <w:rPr>
          <w:rFonts w:hint="eastAsia" w:ascii="宋体" w:hAnsi="宋体" w:eastAsia="宋体" w:cs="宋体"/>
          <w:color w:val="auto"/>
          <w:sz w:val="24"/>
          <w:szCs w:val="24"/>
          <w:highlight w:val="none"/>
          <w:shd w:val="clear" w:color="auto" w:fill="FFFFFF"/>
        </w:rPr>
        <w:t>）、温馨提示：本项目为全流程电子化交易项目，请认真阅读采购文件，并注意以下事项：</w:t>
      </w:r>
    </w:p>
    <w:p w14:paraId="7B35B1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rPr>
        <w:t>、供应商应按采购文件规定编制、提交电子投标文件</w:t>
      </w:r>
      <w:r>
        <w:rPr>
          <w:rFonts w:hint="eastAsia" w:ascii="宋体" w:hAnsi="宋体" w:eastAsia="宋体" w:cs="宋体"/>
          <w:b/>
          <w:bCs/>
          <w:color w:val="auto"/>
          <w:sz w:val="24"/>
          <w:szCs w:val="24"/>
          <w:highlight w:val="none"/>
          <w:shd w:val="clear" w:color="auto" w:fill="FFFFFF"/>
        </w:rPr>
        <w:t>。</w:t>
      </w:r>
    </w:p>
    <w:p w14:paraId="3AF52A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rPr>
        <w:t>、本项目供应商不用再提供纸质投标文件。</w:t>
      </w:r>
    </w:p>
    <w:p w14:paraId="0C6D68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3</w:t>
      </w:r>
      <w:r>
        <w:rPr>
          <w:rFonts w:hint="eastAsia" w:ascii="宋体" w:hAnsi="宋体" w:eastAsia="宋体" w:cs="宋体"/>
          <w:color w:val="auto"/>
          <w:sz w:val="24"/>
          <w:szCs w:val="24"/>
          <w:highlight w:val="none"/>
          <w:shd w:val="clear" w:color="auto" w:fill="FFFFFF"/>
        </w:rPr>
        <w:t>、电子文件下载、制作、提交期间和开标（电子投标文件的解密）环节，供应商须使用</w:t>
      </w:r>
      <w:r>
        <w:rPr>
          <w:rFonts w:hint="eastAsia" w:ascii="宋体" w:hAnsi="宋体" w:eastAsia="宋体" w:cs="宋体"/>
          <w:b/>
          <w:bCs/>
          <w:color w:val="auto"/>
          <w:sz w:val="24"/>
          <w:szCs w:val="24"/>
          <w:highlight w:val="none"/>
          <w:shd w:val="clear" w:color="auto" w:fill="FFFFFF"/>
        </w:rPr>
        <w:t>CA</w:t>
      </w:r>
      <w:r>
        <w:rPr>
          <w:rFonts w:hint="eastAsia" w:ascii="宋体" w:hAnsi="宋体" w:eastAsia="宋体" w:cs="宋体"/>
          <w:color w:val="auto"/>
          <w:sz w:val="24"/>
          <w:szCs w:val="24"/>
          <w:highlight w:val="none"/>
          <w:shd w:val="clear" w:color="auto" w:fill="FFFFFF"/>
        </w:rPr>
        <w:t>数字证书（证书须在有效期内）。</w:t>
      </w:r>
    </w:p>
    <w:p w14:paraId="5B7E88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rPr>
        <w:t>电子投标文件的制作</w:t>
      </w:r>
    </w:p>
    <w:p w14:paraId="0F54CC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4.1</w:t>
      </w:r>
      <w:r>
        <w:rPr>
          <w:rFonts w:hint="eastAsia" w:ascii="宋体" w:hAnsi="宋体" w:eastAsia="宋体" w:cs="宋体"/>
          <w:color w:val="auto"/>
          <w:sz w:val="24"/>
          <w:szCs w:val="24"/>
          <w:highlight w:val="none"/>
          <w:shd w:val="clear" w:color="auto" w:fill="FFFFFF"/>
        </w:rPr>
        <w:t>供应商登录《全国公共资源交易平台</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河南省▪平顶山市</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》公共资源交易系统  下载“平顶山投标文件制作系统”，按采购文件要求制作电子投标文件。电子投标文件的制作，参考《全国公共资源交易平台</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河南省▪平顶山市</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》公共资源交易系统——组件下载——交易系统操作手册（投标人、供应商）。</w:t>
      </w:r>
    </w:p>
    <w:p w14:paraId="014DD5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4.2</w:t>
      </w:r>
      <w:r>
        <w:rPr>
          <w:rFonts w:hint="eastAsia" w:ascii="宋体" w:hAnsi="宋体" w:eastAsia="宋体" w:cs="宋体"/>
          <w:color w:val="auto"/>
          <w:sz w:val="24"/>
          <w:szCs w:val="24"/>
          <w:highlight w:val="none"/>
          <w:shd w:val="clear" w:color="auto" w:fill="FFFFFF"/>
        </w:rPr>
        <w:t>供应商须将采购文件要求的资质、业绩、荣誉及相关人员证明材料等资料原件扫描件（或图片）制作到所提交的电子投标文件中。</w:t>
      </w:r>
    </w:p>
    <w:p w14:paraId="25A903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4.3</w:t>
      </w:r>
      <w:r>
        <w:rPr>
          <w:rFonts w:hint="eastAsia" w:ascii="宋体" w:hAnsi="宋体" w:eastAsia="宋体" w:cs="宋体"/>
          <w:color w:val="auto"/>
          <w:sz w:val="24"/>
          <w:szCs w:val="24"/>
          <w:highlight w:val="none"/>
          <w:shd w:val="clear" w:color="auto" w:fill="FFFFFF"/>
        </w:rPr>
        <w:t>供应商对同一项目多个标段进行投标的，应分别下载所投标段的采购文件，按标段制作电子投标文件，并按采购文件要求在相应位置加盖供应商电子印章和法人电子印章。一个标段对应生成一个文件夹（</w:t>
      </w:r>
      <w:r>
        <w:rPr>
          <w:rFonts w:hint="eastAsia" w:ascii="宋体" w:hAnsi="宋体" w:eastAsia="宋体" w:cs="宋体"/>
          <w:b/>
          <w:bCs/>
          <w:color w:val="auto"/>
          <w:sz w:val="24"/>
          <w:szCs w:val="24"/>
          <w:highlight w:val="none"/>
          <w:shd w:val="clear" w:color="auto" w:fill="FFFFFF"/>
        </w:rPr>
        <w:t>xxxx</w:t>
      </w:r>
      <w:r>
        <w:rPr>
          <w:rFonts w:hint="eastAsia" w:ascii="宋体" w:hAnsi="宋体" w:eastAsia="宋体" w:cs="宋体"/>
          <w:color w:val="auto"/>
          <w:sz w:val="24"/>
          <w:szCs w:val="24"/>
          <w:highlight w:val="none"/>
          <w:shd w:val="clear" w:color="auto" w:fill="FFFFFF"/>
        </w:rPr>
        <w:t>项目</w:t>
      </w:r>
      <w:r>
        <w:rPr>
          <w:rFonts w:hint="eastAsia" w:ascii="宋体" w:hAnsi="宋体" w:eastAsia="宋体" w:cs="宋体"/>
          <w:b/>
          <w:bCs/>
          <w:color w:val="auto"/>
          <w:sz w:val="24"/>
          <w:szCs w:val="24"/>
          <w:highlight w:val="none"/>
          <w:shd w:val="clear" w:color="auto" w:fill="FFFFFF"/>
        </w:rPr>
        <w:t>xx</w:t>
      </w:r>
      <w:r>
        <w:rPr>
          <w:rFonts w:hint="eastAsia" w:ascii="宋体" w:hAnsi="宋体" w:eastAsia="宋体" w:cs="宋体"/>
          <w:color w:val="auto"/>
          <w:sz w:val="24"/>
          <w:szCs w:val="24"/>
          <w:highlight w:val="none"/>
          <w:shd w:val="clear" w:color="auto" w:fill="FFFFFF"/>
        </w:rPr>
        <w:t>标段）</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其中包含</w:t>
      </w:r>
      <w:r>
        <w:rPr>
          <w:rFonts w:hint="eastAsia" w:ascii="宋体" w:hAnsi="宋体" w:eastAsia="宋体" w:cs="宋体"/>
          <w:b/>
          <w:bCs/>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rPr>
        <w:t>个文件和</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rPr>
        <w:t>个文件夹。后缀名为“</w:t>
      </w:r>
      <w:r>
        <w:rPr>
          <w:rFonts w:hint="eastAsia" w:ascii="宋体" w:hAnsi="宋体" w:eastAsia="宋体" w:cs="宋体"/>
          <w:b/>
          <w:bCs/>
          <w:color w:val="auto"/>
          <w:sz w:val="24"/>
          <w:szCs w:val="24"/>
          <w:highlight w:val="none"/>
          <w:shd w:val="clear" w:color="auto" w:fill="FFFFFF"/>
        </w:rPr>
        <w:t>.file</w:t>
      </w:r>
      <w:r>
        <w:rPr>
          <w:rFonts w:hint="eastAsia" w:ascii="宋体" w:hAnsi="宋体" w:eastAsia="宋体" w:cs="宋体"/>
          <w:color w:val="auto"/>
          <w:sz w:val="24"/>
          <w:szCs w:val="24"/>
          <w:highlight w:val="none"/>
          <w:shd w:val="clear" w:color="auto" w:fill="FFFFFF"/>
        </w:rPr>
        <w:t>”的文件用于电子投标使用，名称为“备份”的文件夹使用电子介质存储，备用。</w:t>
      </w:r>
    </w:p>
    <w:p w14:paraId="258EE2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rPr>
        <w:t>加密电子投标文件的提交</w:t>
      </w:r>
    </w:p>
    <w:p w14:paraId="1C19F9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rPr>
        <w:t>5.1</w:t>
      </w:r>
      <w:r>
        <w:rPr>
          <w:rFonts w:hint="eastAsia" w:ascii="宋体" w:hAnsi="宋体" w:eastAsia="宋体" w:cs="宋体"/>
          <w:color w:val="auto"/>
          <w:sz w:val="24"/>
          <w:szCs w:val="24"/>
          <w:highlight w:val="none"/>
          <w:shd w:val="clear" w:color="auto" w:fill="FFFFFF"/>
        </w:rPr>
        <w:t>加密电子投标文件应在采购文件规定的投标截止时间（开标时间）之前成功提交至《全国公共资源交易平台</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河南省▪平顶山市</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rPr>
        <w:t>》公共资源交易系统</w:t>
      </w:r>
      <w:r>
        <w:rPr>
          <w:rFonts w:hint="eastAsia" w:ascii="宋体" w:hAnsi="宋体" w:eastAsia="宋体" w:cs="宋体"/>
          <w:color w:val="auto"/>
          <w:sz w:val="24"/>
          <w:szCs w:val="24"/>
          <w:highlight w:val="none"/>
          <w:shd w:val="clear" w:color="auto" w:fill="FFFFFF"/>
          <w:lang w:eastAsia="zh-CN"/>
        </w:rPr>
        <w:t>。</w:t>
      </w:r>
    </w:p>
    <w:p w14:paraId="7D82E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供应商应充分考虑并预留技术处理和上传数据所需时间。</w:t>
      </w:r>
    </w:p>
    <w:p w14:paraId="6440DC76">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shd w:val="clear" w:color="auto" w:fill="FFFFFF"/>
        </w:rPr>
        <w:t>5.2</w:t>
      </w:r>
      <w:r>
        <w:rPr>
          <w:rFonts w:hint="eastAsia" w:ascii="宋体" w:hAnsi="宋体" w:eastAsia="宋体" w:cs="宋体"/>
          <w:color w:val="auto"/>
          <w:sz w:val="24"/>
          <w:szCs w:val="24"/>
          <w:highlight w:val="none"/>
          <w:shd w:val="clear" w:color="auto" w:fill="FFFFFF"/>
        </w:rPr>
        <w:t>供应商对同一项目多个标段进行投标的，加密电子投标文件应按标段分别提交。</w:t>
      </w:r>
    </w:p>
    <w:p w14:paraId="5F5A6995">
      <w:pPr>
        <w:pStyle w:val="4"/>
        <w:numPr>
          <w:ilvl w:val="0"/>
          <w:numId w:val="1"/>
        </w:numPr>
        <w:spacing w:before="100" w:after="100" w:line="440" w:lineRule="exact"/>
        <w:jc w:val="center"/>
        <w:rPr>
          <w:rFonts w:hint="eastAsia" w:ascii="宋体" w:hAnsi="宋体" w:eastAsia="宋体" w:cs="宋体"/>
          <w:color w:val="auto"/>
          <w:sz w:val="36"/>
          <w:szCs w:val="36"/>
          <w:highlight w:val="none"/>
        </w:rPr>
      </w:pPr>
      <w:bookmarkStart w:id="59" w:name="_Toc6929017"/>
      <w:bookmarkStart w:id="60" w:name="_Toc142476145"/>
      <w:bookmarkStart w:id="61" w:name="_Toc22373"/>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投标单位须知</w:t>
      </w:r>
      <w:bookmarkEnd w:id="59"/>
      <w:bookmarkEnd w:id="60"/>
      <w:bookmarkEnd w:id="61"/>
    </w:p>
    <w:p w14:paraId="43A912B0">
      <w:pPr>
        <w:pStyle w:val="2"/>
        <w:rPr>
          <w:rFonts w:hint="eastAsia" w:ascii="宋体" w:hAnsi="宋体" w:eastAsia="宋体" w:cs="宋体"/>
          <w:color w:val="auto"/>
          <w:highlight w:val="none"/>
        </w:rPr>
      </w:pPr>
    </w:p>
    <w:p w14:paraId="0F9AFFB0">
      <w:pPr>
        <w:spacing w:line="360" w:lineRule="exact"/>
        <w:ind w:firstLine="422" w:firstLineChars="150"/>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投标单位须知前附表</w:t>
      </w:r>
    </w:p>
    <w:tbl>
      <w:tblPr>
        <w:tblStyle w:val="15"/>
        <w:tblW w:w="8918"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00"/>
        <w:gridCol w:w="654"/>
        <w:gridCol w:w="5662"/>
      </w:tblGrid>
      <w:tr w14:paraId="0AD55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02" w:type="dxa"/>
            <w:tcBorders>
              <w:top w:val="single" w:color="auto" w:sz="12" w:space="0"/>
            </w:tcBorders>
            <w:noWrap w:val="0"/>
            <w:vAlign w:val="center"/>
          </w:tcPr>
          <w:p w14:paraId="4D7F8558">
            <w:pPr>
              <w:spacing w:line="420" w:lineRule="exact"/>
              <w:jc w:val="center"/>
              <w:rPr>
                <w:rFonts w:hint="eastAsia" w:ascii="宋体" w:hAnsi="宋体" w:eastAsia="宋体" w:cs="宋体"/>
                <w:b/>
                <w:bCs/>
                <w:color w:val="auto"/>
                <w:sz w:val="24"/>
                <w:szCs w:val="24"/>
                <w:highlight w:val="none"/>
              </w:rPr>
            </w:pPr>
            <w:bookmarkStart w:id="62" w:name="_Toc294794565"/>
            <w:r>
              <w:rPr>
                <w:rFonts w:hint="eastAsia" w:ascii="宋体" w:hAnsi="宋体" w:eastAsia="宋体" w:cs="宋体"/>
                <w:b/>
                <w:bCs/>
                <w:color w:val="auto"/>
                <w:sz w:val="24"/>
                <w:szCs w:val="24"/>
                <w:highlight w:val="none"/>
              </w:rPr>
              <w:t>序号</w:t>
            </w:r>
            <w:bookmarkEnd w:id="62"/>
          </w:p>
        </w:tc>
        <w:tc>
          <w:tcPr>
            <w:tcW w:w="1954" w:type="dxa"/>
            <w:gridSpan w:val="2"/>
            <w:tcBorders>
              <w:top w:val="single" w:color="auto" w:sz="12" w:space="0"/>
            </w:tcBorders>
            <w:noWrap w:val="0"/>
            <w:vAlign w:val="center"/>
          </w:tcPr>
          <w:p w14:paraId="6B96CC56">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662" w:type="dxa"/>
            <w:tcBorders>
              <w:top w:val="single" w:color="auto" w:sz="12" w:space="0"/>
            </w:tcBorders>
            <w:noWrap w:val="0"/>
            <w:vAlign w:val="center"/>
          </w:tcPr>
          <w:p w14:paraId="4E1A44C0">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说明与要求</w:t>
            </w:r>
          </w:p>
        </w:tc>
      </w:tr>
      <w:tr w14:paraId="6B301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302" w:type="dxa"/>
            <w:noWrap w:val="0"/>
            <w:vAlign w:val="center"/>
          </w:tcPr>
          <w:p w14:paraId="49E05C4D">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dxa"/>
            <w:gridSpan w:val="2"/>
            <w:noWrap w:val="0"/>
            <w:vAlign w:val="center"/>
          </w:tcPr>
          <w:p w14:paraId="4501A57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662" w:type="dxa"/>
            <w:noWrap w:val="0"/>
            <w:vAlign w:val="center"/>
          </w:tcPr>
          <w:p w14:paraId="148BBCEF">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称：国有鲁山林场</w:t>
            </w:r>
          </w:p>
          <w:p w14:paraId="655C9D91">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人：赵</w:t>
            </w:r>
            <w:r>
              <w:rPr>
                <w:rFonts w:hint="eastAsia" w:ascii="宋体" w:hAnsi="宋体" w:eastAsia="宋体" w:cs="宋体"/>
                <w:color w:val="auto"/>
                <w:sz w:val="24"/>
                <w:highlight w:val="none"/>
                <w:lang w:val="en-US" w:eastAsia="zh-CN"/>
              </w:rPr>
              <w:t>磊</w:t>
            </w:r>
          </w:p>
          <w:p w14:paraId="687969FB">
            <w:pPr>
              <w:spacing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13837575755</w:t>
            </w:r>
          </w:p>
          <w:p w14:paraId="6855869C">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址：平顶山市鲁山县花园路与鲁阳路交叉路口往东北约100米</w:t>
            </w:r>
          </w:p>
        </w:tc>
      </w:tr>
      <w:tr w14:paraId="1C3D3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1302" w:type="dxa"/>
            <w:noWrap w:val="0"/>
            <w:vAlign w:val="center"/>
          </w:tcPr>
          <w:p w14:paraId="7DA0D031">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dxa"/>
            <w:gridSpan w:val="2"/>
            <w:noWrap w:val="0"/>
            <w:vAlign w:val="center"/>
          </w:tcPr>
          <w:p w14:paraId="5657A04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5662" w:type="dxa"/>
            <w:noWrap w:val="0"/>
            <w:vAlign w:val="center"/>
          </w:tcPr>
          <w:p w14:paraId="4F84CABA">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河南省亿达工程管理咨询有限公司</w:t>
            </w:r>
          </w:p>
          <w:p w14:paraId="726672D5">
            <w:pPr>
              <w:spacing w:line="4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马帅军</w:t>
            </w:r>
          </w:p>
          <w:p w14:paraId="1CE15996">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13949037203</w:t>
            </w:r>
            <w:r>
              <w:rPr>
                <w:rFonts w:hint="eastAsia" w:ascii="宋体" w:hAnsi="宋体" w:eastAsia="宋体" w:cs="宋体"/>
                <w:color w:val="auto"/>
                <w:sz w:val="24"/>
                <w:highlight w:val="none"/>
              </w:rPr>
              <w:t xml:space="preserve">     </w:t>
            </w:r>
          </w:p>
          <w:p w14:paraId="2D2605BF">
            <w:pPr>
              <w:snapToGrid w:val="0"/>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河南自贸试验区郑州片区（金水）柳东路9-3P号240025</w:t>
            </w:r>
          </w:p>
        </w:tc>
      </w:tr>
      <w:tr w14:paraId="5A87A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302" w:type="dxa"/>
            <w:noWrap w:val="0"/>
            <w:vAlign w:val="center"/>
          </w:tcPr>
          <w:p w14:paraId="670AB579">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dxa"/>
            <w:gridSpan w:val="2"/>
            <w:noWrap w:val="0"/>
            <w:vAlign w:val="center"/>
          </w:tcPr>
          <w:p w14:paraId="7574F8BF">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5662" w:type="dxa"/>
            <w:noWrap w:val="0"/>
            <w:vAlign w:val="center"/>
          </w:tcPr>
          <w:p w14:paraId="326E6E87">
            <w:pPr>
              <w:spacing w:line="360" w:lineRule="exact"/>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国有鲁山林场2025年全国森林可持续经营项目</w:t>
            </w:r>
          </w:p>
        </w:tc>
      </w:tr>
      <w:tr w14:paraId="5EEE6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302" w:type="dxa"/>
            <w:noWrap w:val="0"/>
            <w:vAlign w:val="center"/>
          </w:tcPr>
          <w:p w14:paraId="4E79DECE">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4" w:type="dxa"/>
            <w:gridSpan w:val="2"/>
            <w:noWrap w:val="0"/>
            <w:vAlign w:val="center"/>
          </w:tcPr>
          <w:p w14:paraId="5E319A31">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采购内容</w:t>
            </w:r>
          </w:p>
        </w:tc>
        <w:tc>
          <w:tcPr>
            <w:tcW w:w="5662" w:type="dxa"/>
            <w:noWrap w:val="0"/>
            <w:vAlign w:val="center"/>
          </w:tcPr>
          <w:p w14:paraId="543A90D1">
            <w:pPr>
              <w:spacing w:line="3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采购人发包的全部内容</w:t>
            </w:r>
          </w:p>
        </w:tc>
      </w:tr>
      <w:tr w14:paraId="6A9A7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302" w:type="dxa"/>
            <w:noWrap w:val="0"/>
            <w:vAlign w:val="center"/>
          </w:tcPr>
          <w:p w14:paraId="0EB458FA">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4" w:type="dxa"/>
            <w:gridSpan w:val="2"/>
            <w:noWrap w:val="0"/>
            <w:vAlign w:val="center"/>
          </w:tcPr>
          <w:p w14:paraId="1A5F9C7F">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w:t>
            </w:r>
          </w:p>
          <w:p w14:paraId="541F6795">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p w14:paraId="34C6372E">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质量等</w:t>
            </w:r>
          </w:p>
        </w:tc>
        <w:tc>
          <w:tcPr>
            <w:tcW w:w="5662" w:type="dxa"/>
            <w:noWrap w:val="0"/>
            <w:vAlign w:val="center"/>
          </w:tcPr>
          <w:p w14:paraId="58B1A34C">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质量要求：</w:t>
            </w:r>
            <w:r>
              <w:rPr>
                <w:rFonts w:hint="eastAsia" w:ascii="宋体" w:hAnsi="宋体" w:eastAsia="宋体" w:cs="宋体"/>
                <w:color w:val="auto"/>
                <w:sz w:val="24"/>
                <w:highlight w:val="none"/>
              </w:rPr>
              <w:t>符合现行国家或行业有关规定、标准、规范的要求</w:t>
            </w:r>
            <w:r>
              <w:rPr>
                <w:rFonts w:hint="eastAsia" w:ascii="宋体" w:hAnsi="宋体" w:eastAsia="宋体" w:cs="宋体"/>
                <w:bCs/>
                <w:color w:val="auto"/>
                <w:kern w:val="0"/>
                <w:sz w:val="24"/>
                <w:szCs w:val="24"/>
                <w:highlight w:val="none"/>
              </w:rPr>
              <w:t>。</w:t>
            </w:r>
          </w:p>
          <w:p w14:paraId="62E104AA">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服务地点：采购人指定地点</w:t>
            </w:r>
          </w:p>
          <w:p w14:paraId="2B0B8B9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服务期：30日历天</w:t>
            </w:r>
          </w:p>
        </w:tc>
      </w:tr>
      <w:tr w14:paraId="18D91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2" w:type="dxa"/>
            <w:noWrap w:val="0"/>
            <w:vAlign w:val="center"/>
          </w:tcPr>
          <w:p w14:paraId="2B7EB068">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4" w:type="dxa"/>
            <w:gridSpan w:val="2"/>
            <w:noWrap w:val="0"/>
            <w:vAlign w:val="center"/>
          </w:tcPr>
          <w:p w14:paraId="24B296EC">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投标单位资格要求</w:t>
            </w:r>
          </w:p>
        </w:tc>
        <w:tc>
          <w:tcPr>
            <w:tcW w:w="5662" w:type="dxa"/>
            <w:noWrap w:val="0"/>
            <w:vAlign w:val="center"/>
          </w:tcPr>
          <w:p w14:paraId="1B104723">
            <w:pPr>
              <w:spacing w:line="380" w:lineRule="exac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详见</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公告</w:t>
            </w:r>
          </w:p>
        </w:tc>
      </w:tr>
      <w:tr w14:paraId="286E1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02" w:type="dxa"/>
            <w:noWrap w:val="0"/>
            <w:vAlign w:val="center"/>
          </w:tcPr>
          <w:p w14:paraId="31C800A7">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4" w:type="dxa"/>
            <w:gridSpan w:val="2"/>
            <w:noWrap w:val="0"/>
            <w:vAlign w:val="center"/>
          </w:tcPr>
          <w:p w14:paraId="70CB5EAE">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采购预算</w:t>
            </w:r>
          </w:p>
        </w:tc>
        <w:tc>
          <w:tcPr>
            <w:tcW w:w="5662" w:type="dxa"/>
            <w:noWrap w:val="0"/>
            <w:vAlign w:val="center"/>
          </w:tcPr>
          <w:p w14:paraId="376369B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人民币2024000</w:t>
            </w:r>
            <w:r>
              <w:rPr>
                <w:rFonts w:hint="eastAsia" w:ascii="宋体" w:hAnsi="宋体" w:eastAsia="宋体" w:cs="宋体"/>
                <w:color w:val="auto"/>
                <w:sz w:val="24"/>
                <w:szCs w:val="24"/>
                <w:highlight w:val="none"/>
              </w:rPr>
              <w:t>.00元</w:t>
            </w:r>
          </w:p>
        </w:tc>
      </w:tr>
      <w:tr w14:paraId="6EAAF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02" w:type="dxa"/>
            <w:noWrap w:val="0"/>
            <w:vAlign w:val="center"/>
          </w:tcPr>
          <w:p w14:paraId="644EC408">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4" w:type="dxa"/>
            <w:gridSpan w:val="2"/>
            <w:noWrap w:val="0"/>
            <w:vAlign w:val="center"/>
          </w:tcPr>
          <w:p w14:paraId="015C6AEC">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投标截止时间</w:t>
            </w:r>
          </w:p>
        </w:tc>
        <w:tc>
          <w:tcPr>
            <w:tcW w:w="5662" w:type="dxa"/>
            <w:noWrap w:val="0"/>
            <w:vAlign w:val="center"/>
          </w:tcPr>
          <w:p w14:paraId="23F4A1A1">
            <w:pPr>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同开标时间</w:t>
            </w:r>
          </w:p>
        </w:tc>
      </w:tr>
      <w:tr w14:paraId="482E1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302" w:type="dxa"/>
            <w:noWrap w:val="0"/>
            <w:vAlign w:val="center"/>
          </w:tcPr>
          <w:p w14:paraId="59BDE1A7">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1954" w:type="dxa"/>
            <w:gridSpan w:val="2"/>
            <w:noWrap w:val="0"/>
            <w:vAlign w:val="center"/>
          </w:tcPr>
          <w:p w14:paraId="55100DA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采购人补充、修改招标文件的时间</w:t>
            </w:r>
          </w:p>
        </w:tc>
        <w:tc>
          <w:tcPr>
            <w:tcW w:w="5662" w:type="dxa"/>
            <w:noWrap w:val="0"/>
            <w:vAlign w:val="center"/>
          </w:tcPr>
          <w:p w14:paraId="063E9DBC">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日前</w:t>
            </w:r>
          </w:p>
        </w:tc>
      </w:tr>
      <w:tr w14:paraId="25000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302" w:type="dxa"/>
            <w:noWrap w:val="0"/>
            <w:vAlign w:val="center"/>
          </w:tcPr>
          <w:p w14:paraId="2C01274C">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1954" w:type="dxa"/>
            <w:gridSpan w:val="2"/>
            <w:noWrap w:val="0"/>
            <w:vAlign w:val="center"/>
          </w:tcPr>
          <w:p w14:paraId="72EC68D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构成投标文件的其他材料</w:t>
            </w:r>
          </w:p>
        </w:tc>
        <w:tc>
          <w:tcPr>
            <w:tcW w:w="5662" w:type="dxa"/>
            <w:noWrap w:val="0"/>
            <w:vAlign w:val="center"/>
          </w:tcPr>
          <w:p w14:paraId="1B259C70">
            <w:pPr>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投标单位认为有必要的其他资料</w:t>
            </w:r>
          </w:p>
        </w:tc>
      </w:tr>
      <w:tr w14:paraId="73164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02" w:type="dxa"/>
            <w:noWrap w:val="0"/>
            <w:vAlign w:val="center"/>
          </w:tcPr>
          <w:p w14:paraId="60B8C8C6">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4" w:type="dxa"/>
            <w:gridSpan w:val="2"/>
            <w:noWrap w:val="0"/>
            <w:vAlign w:val="center"/>
          </w:tcPr>
          <w:p w14:paraId="36427FB9">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5662" w:type="dxa"/>
            <w:noWrap w:val="0"/>
            <w:vAlign w:val="center"/>
          </w:tcPr>
          <w:p w14:paraId="5262D341">
            <w:pPr>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90日历天</w:t>
            </w:r>
          </w:p>
        </w:tc>
      </w:tr>
      <w:tr w14:paraId="49CCC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02" w:type="dxa"/>
            <w:noWrap w:val="0"/>
            <w:vAlign w:val="center"/>
          </w:tcPr>
          <w:p w14:paraId="0C942845">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4" w:type="dxa"/>
            <w:gridSpan w:val="2"/>
            <w:noWrap w:val="0"/>
            <w:vAlign w:val="center"/>
          </w:tcPr>
          <w:p w14:paraId="3CBEE53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662" w:type="dxa"/>
            <w:noWrap w:val="0"/>
            <w:vAlign w:val="center"/>
          </w:tcPr>
          <w:p w14:paraId="48FF4616">
            <w:pPr>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响应豫财购【2019】3号文，本项目不收取投标保证金。</w:t>
            </w:r>
          </w:p>
        </w:tc>
      </w:tr>
      <w:tr w14:paraId="3A8F2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1302" w:type="dxa"/>
            <w:noWrap w:val="0"/>
            <w:vAlign w:val="center"/>
          </w:tcPr>
          <w:p w14:paraId="24DC2B74">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4" w:type="dxa"/>
            <w:gridSpan w:val="2"/>
            <w:noWrap w:val="0"/>
            <w:vAlign w:val="center"/>
          </w:tcPr>
          <w:p w14:paraId="50F90B2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签字和（或）</w:t>
            </w:r>
          </w:p>
          <w:p w14:paraId="502ADBE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盖章要求</w:t>
            </w:r>
          </w:p>
        </w:tc>
        <w:tc>
          <w:tcPr>
            <w:tcW w:w="5662" w:type="dxa"/>
            <w:noWrap w:val="0"/>
            <w:vAlign w:val="center"/>
          </w:tcPr>
          <w:p w14:paraId="3779DDA8">
            <w:pPr>
              <w:spacing w:line="420" w:lineRule="exact"/>
              <w:rPr>
                <w:rFonts w:hint="eastAsia" w:ascii="宋体" w:hAnsi="宋体" w:eastAsia="宋体" w:cs="宋体"/>
                <w:color w:val="auto"/>
                <w:sz w:val="24"/>
                <w:szCs w:val="24"/>
                <w:highlight w:val="none"/>
              </w:rPr>
            </w:pPr>
            <w:bookmarkStart w:id="63" w:name="_Toc536542057"/>
            <w:bookmarkStart w:id="64" w:name="_Toc536542619"/>
            <w:r>
              <w:rPr>
                <w:rFonts w:hint="eastAsia" w:ascii="宋体" w:hAnsi="宋体" w:eastAsia="宋体" w:cs="宋体"/>
                <w:color w:val="auto"/>
                <w:sz w:val="24"/>
                <w:szCs w:val="24"/>
                <w:highlight w:val="none"/>
              </w:rPr>
              <w:t>1.1</w:t>
            </w:r>
            <w:bookmarkEnd w:id="63"/>
            <w:bookmarkEnd w:id="64"/>
            <w:bookmarkStart w:id="65" w:name="_Toc536542060"/>
            <w:bookmarkStart w:id="66" w:name="_Toc536542622"/>
            <w:r>
              <w:rPr>
                <w:rFonts w:hint="eastAsia" w:ascii="宋体" w:hAnsi="宋体" w:eastAsia="宋体" w:cs="宋体"/>
                <w:color w:val="auto"/>
                <w:sz w:val="24"/>
                <w:szCs w:val="24"/>
                <w:highlight w:val="none"/>
              </w:rPr>
              <w:t>投标人在生成电子化投标文件后，应对电子化投标文件进行签章，未进行签章的视为无效投标。</w:t>
            </w:r>
          </w:p>
          <w:p w14:paraId="219B27B2">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7C4AF2D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1.3电话、电报、传真、电子邮件形式的投标概不接受。</w:t>
            </w:r>
            <w:bookmarkEnd w:id="65"/>
            <w:bookmarkEnd w:id="66"/>
          </w:p>
        </w:tc>
      </w:tr>
      <w:tr w14:paraId="3F82C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02" w:type="dxa"/>
            <w:noWrap w:val="0"/>
            <w:vAlign w:val="center"/>
          </w:tcPr>
          <w:p w14:paraId="5FE70653">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4" w:type="dxa"/>
            <w:gridSpan w:val="2"/>
            <w:noWrap w:val="0"/>
            <w:vAlign w:val="center"/>
          </w:tcPr>
          <w:p w14:paraId="576CA3D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5662" w:type="dxa"/>
            <w:noWrap w:val="0"/>
            <w:vAlign w:val="center"/>
          </w:tcPr>
          <w:p w14:paraId="3F3F6241">
            <w:pPr>
              <w:spacing w:line="4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本项目为不见面开标, 不再提供。</w:t>
            </w:r>
          </w:p>
        </w:tc>
      </w:tr>
      <w:tr w14:paraId="2C230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302" w:type="dxa"/>
            <w:noWrap w:val="0"/>
            <w:vAlign w:val="center"/>
          </w:tcPr>
          <w:p w14:paraId="42C9BB7C">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4" w:type="dxa"/>
            <w:gridSpan w:val="2"/>
            <w:noWrap w:val="0"/>
            <w:vAlign w:val="center"/>
          </w:tcPr>
          <w:p w14:paraId="3705CA3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递交投标文件地点</w:t>
            </w:r>
          </w:p>
        </w:tc>
        <w:tc>
          <w:tcPr>
            <w:tcW w:w="5662" w:type="dxa"/>
            <w:noWrap w:val="0"/>
            <w:vAlign w:val="center"/>
          </w:tcPr>
          <w:p w14:paraId="0BD58CE2">
            <w:pPr>
              <w:spacing w:before="156" w:beforeLines="50"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全面实行在线“不见面”开标，投标人远程在线解密投标文件，不再到开标现场，投标人开标前应仔细阅读《“不见面”开标注意事项及操作流程》。</w:t>
            </w:r>
          </w:p>
        </w:tc>
      </w:tr>
      <w:tr w14:paraId="44E58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02" w:type="dxa"/>
            <w:noWrap w:val="0"/>
            <w:vAlign w:val="center"/>
          </w:tcPr>
          <w:p w14:paraId="40CD8702">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4" w:type="dxa"/>
            <w:gridSpan w:val="2"/>
            <w:noWrap w:val="0"/>
            <w:vAlign w:val="center"/>
          </w:tcPr>
          <w:p w14:paraId="184F32A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5662" w:type="dxa"/>
            <w:noWrap w:val="0"/>
            <w:vAlign w:val="center"/>
          </w:tcPr>
          <w:p w14:paraId="733D29B2">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2FA1E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302" w:type="dxa"/>
            <w:noWrap w:val="0"/>
            <w:vAlign w:val="center"/>
          </w:tcPr>
          <w:p w14:paraId="08803898">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4" w:type="dxa"/>
            <w:gridSpan w:val="2"/>
            <w:noWrap w:val="0"/>
            <w:vAlign w:val="center"/>
          </w:tcPr>
          <w:p w14:paraId="53EE5C5C">
            <w:pPr>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开标时间</w:t>
            </w:r>
          </w:p>
        </w:tc>
        <w:tc>
          <w:tcPr>
            <w:tcW w:w="5662" w:type="dxa"/>
            <w:noWrap w:val="0"/>
            <w:vAlign w:val="center"/>
          </w:tcPr>
          <w:p w14:paraId="568EF59F">
            <w:pPr>
              <w:spacing w:line="42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 xml:space="preserve"> 10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13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时</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 分</w:t>
            </w:r>
            <w:r>
              <w:rPr>
                <w:rFonts w:hint="eastAsia" w:ascii="宋体" w:hAnsi="宋体" w:eastAsia="宋体" w:cs="宋体"/>
                <w:bCs/>
                <w:color w:val="auto"/>
                <w:sz w:val="24"/>
                <w:szCs w:val="24"/>
                <w:highlight w:val="none"/>
              </w:rPr>
              <w:t>(北京时间）</w:t>
            </w:r>
          </w:p>
        </w:tc>
      </w:tr>
      <w:tr w14:paraId="63E03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7" w:hRule="atLeast"/>
        </w:trPr>
        <w:tc>
          <w:tcPr>
            <w:tcW w:w="1302" w:type="dxa"/>
            <w:noWrap w:val="0"/>
            <w:vAlign w:val="center"/>
          </w:tcPr>
          <w:p w14:paraId="2F45BF99">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4" w:type="dxa"/>
            <w:gridSpan w:val="2"/>
            <w:noWrap w:val="0"/>
            <w:vAlign w:val="center"/>
          </w:tcPr>
          <w:p w14:paraId="18C05098">
            <w:pPr>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开标程序(本项目为不见面开标,请详细阅读注意事项)</w:t>
            </w:r>
          </w:p>
        </w:tc>
        <w:tc>
          <w:tcPr>
            <w:tcW w:w="5662" w:type="dxa"/>
            <w:noWrap w:val="0"/>
            <w:vAlign w:val="center"/>
          </w:tcPr>
          <w:p w14:paraId="44A3C88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3EE31E7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2、如出现投标人的电子投标文件无法解密的情况，投标人应及时联系招标人（代理机构）进行说明。投标文件解密异常，按以下步骤进行处理：</w:t>
            </w:r>
          </w:p>
          <w:p w14:paraId="4278BF7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（1）如果是投标文件自身问题导致投标文件无法解密的，该投标文件将不予接收、解密。</w:t>
            </w:r>
          </w:p>
          <w:p w14:paraId="53A662C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（2）如果是电子化交易系统问题造成投标文件无法解密的，将由技术人员进行排查处理。如短时间内问题无法解决的，将由招标人（代理机构）联系监督部门申请暂停开标，待问题解决后继续开标。</w:t>
            </w:r>
          </w:p>
          <w:p w14:paraId="5BC638E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3、所有投标文件解密完成后，由招标人（代理机构）操作，对开标结果进行公示。</w:t>
            </w:r>
          </w:p>
          <w:p w14:paraId="050D79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4、投标人应保证在开标期间电话、电脑、网络等能够正常使用，投标人因停电、电脑病毒、网络堵塞等原因，未在规定的解密时间内对投标文件进行解密的，其投标文件不予接收。</w:t>
            </w:r>
          </w:p>
          <w:p w14:paraId="59D72B08">
            <w:pPr>
              <w:spacing w:line="4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14:paraId="1257C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1302" w:type="dxa"/>
            <w:noWrap w:val="0"/>
            <w:vAlign w:val="center"/>
          </w:tcPr>
          <w:p w14:paraId="3200F19F">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4" w:type="dxa"/>
            <w:gridSpan w:val="2"/>
            <w:noWrap w:val="0"/>
            <w:vAlign w:val="center"/>
          </w:tcPr>
          <w:p w14:paraId="2A7D01F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5662" w:type="dxa"/>
            <w:noWrap w:val="0"/>
            <w:vAlign w:val="center"/>
          </w:tcPr>
          <w:p w14:paraId="6A41C22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评标委员会组成：评标委员会由采购人代表和评审专家组成，成员人数应当为5人以上单数，其中评审专家不得少于成员总数的三分之二。采购项目符合下列情形之一的，评标委员会成员人数应当为7人以上单数：</w:t>
            </w:r>
          </w:p>
          <w:p w14:paraId="40A1DD2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（一）采购预算金额在1000万元以上；</w:t>
            </w:r>
          </w:p>
          <w:p w14:paraId="333B0A6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（二）技术复杂；</w:t>
            </w:r>
          </w:p>
          <w:p w14:paraId="5F23ECC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（三）社会影响较大。</w:t>
            </w:r>
          </w:p>
          <w:p w14:paraId="7B40948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上述规定为一组评标专家组成方式，根据项目标段数量和评标工作量，可由多组专家完成评审，但一个标段只能由一组专家评审。</w:t>
            </w:r>
          </w:p>
        </w:tc>
      </w:tr>
      <w:tr w14:paraId="1F777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02" w:type="dxa"/>
            <w:noWrap w:val="0"/>
            <w:vAlign w:val="center"/>
          </w:tcPr>
          <w:p w14:paraId="06AA16AF">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4" w:type="dxa"/>
            <w:gridSpan w:val="2"/>
            <w:noWrap w:val="0"/>
            <w:vAlign w:val="center"/>
          </w:tcPr>
          <w:p w14:paraId="4C5683B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5662" w:type="dxa"/>
            <w:noWrap w:val="0"/>
            <w:vAlign w:val="center"/>
          </w:tcPr>
          <w:p w14:paraId="1A32D400">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7695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302" w:type="dxa"/>
            <w:noWrap w:val="0"/>
            <w:vAlign w:val="center"/>
          </w:tcPr>
          <w:p w14:paraId="66AE0570">
            <w:pPr>
              <w:adjustRightIn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4" w:type="dxa"/>
            <w:gridSpan w:val="2"/>
            <w:noWrap w:val="0"/>
            <w:vAlign w:val="center"/>
          </w:tcPr>
          <w:p w14:paraId="656DFA57">
            <w:pPr>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5662" w:type="dxa"/>
            <w:noWrap w:val="0"/>
            <w:vAlign w:val="center"/>
          </w:tcPr>
          <w:p w14:paraId="64FF6B51">
            <w:pPr>
              <w:keepNext w:val="0"/>
              <w:keepLines w:val="0"/>
              <w:widowControl/>
              <w:suppressLineNumbers w:val="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3"/>
                <w:szCs w:val="23"/>
                <w:highlight w:val="none"/>
                <w:lang w:val="en-US" w:eastAsia="zh-CN" w:bidi="ar"/>
              </w:rPr>
              <w:t>签订合同进场准备工作完成后支付至总价的50%</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kern w:val="0"/>
                <w:sz w:val="23"/>
                <w:szCs w:val="23"/>
                <w:highlight w:val="none"/>
                <w:lang w:val="en-US" w:eastAsia="zh-CN" w:bidi="ar"/>
              </w:rPr>
              <w:t>项目完工后，乙方提交竣工报告和检查验收申请。最后甲方按照上级林业主管部门和第三方公</w:t>
            </w:r>
            <w:r>
              <w:rPr>
                <w:rFonts w:hint="eastAsia" w:ascii="宋体" w:hAnsi="宋体" w:eastAsia="宋体" w:cs="宋体"/>
                <w:color w:val="auto"/>
                <w:kern w:val="0"/>
                <w:sz w:val="24"/>
                <w:szCs w:val="24"/>
                <w:highlight w:val="none"/>
                <w:lang w:val="en-US" w:eastAsia="zh-CN" w:bidi="ar"/>
              </w:rPr>
              <w:t>司检查验收结果核发剩余资金。</w:t>
            </w:r>
          </w:p>
        </w:tc>
      </w:tr>
      <w:tr w14:paraId="2DD01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302" w:type="dxa"/>
            <w:noWrap w:val="0"/>
            <w:vAlign w:val="center"/>
          </w:tcPr>
          <w:p w14:paraId="02DE832A">
            <w:pPr>
              <w:adjustRightIn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4" w:type="dxa"/>
            <w:gridSpan w:val="2"/>
            <w:noWrap w:val="0"/>
            <w:vAlign w:val="center"/>
          </w:tcPr>
          <w:p w14:paraId="2CB22BD6">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验收要求及标准</w:t>
            </w:r>
          </w:p>
        </w:tc>
        <w:tc>
          <w:tcPr>
            <w:tcW w:w="5662" w:type="dxa"/>
            <w:noWrap w:val="0"/>
            <w:vAlign w:val="center"/>
          </w:tcPr>
          <w:p w14:paraId="42580191">
            <w:pPr>
              <w:snapToGrid w:val="0"/>
              <w:spacing w:line="480" w:lineRule="exact"/>
              <w:rPr>
                <w:rFonts w:hint="eastAsia" w:ascii="宋体" w:hAnsi="宋体" w:eastAsia="宋体" w:cs="宋体"/>
                <w:color w:val="auto"/>
                <w:kern w:val="2"/>
                <w:highlight w:val="none"/>
              </w:rPr>
            </w:pPr>
            <w:r>
              <w:rPr>
                <w:rFonts w:hint="eastAsia" w:ascii="新宋体" w:hAnsi="新宋体" w:eastAsia="新宋体" w:cs="新宋体"/>
                <w:color w:val="auto"/>
                <w:sz w:val="24"/>
                <w:highlight w:val="none"/>
              </w:rPr>
              <w:t>按照现行国家或行业有关规定、标准及本项目作业设计标准进行验收</w:t>
            </w:r>
          </w:p>
        </w:tc>
      </w:tr>
      <w:tr w14:paraId="4A9D2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302" w:type="dxa"/>
            <w:noWrap w:val="0"/>
            <w:vAlign w:val="center"/>
          </w:tcPr>
          <w:p w14:paraId="7FB90FB7">
            <w:pPr>
              <w:adjustRightIn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4" w:type="dxa"/>
            <w:gridSpan w:val="2"/>
            <w:noWrap w:val="0"/>
            <w:vAlign w:val="center"/>
          </w:tcPr>
          <w:p w14:paraId="15C3D280">
            <w:pPr>
              <w:adjustRightInd w:val="0"/>
              <w:snapToGrid w:val="0"/>
              <w:spacing w:before="156" w:beforeLines="5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资格审查主体</w:t>
            </w:r>
          </w:p>
        </w:tc>
        <w:tc>
          <w:tcPr>
            <w:tcW w:w="5662" w:type="dxa"/>
            <w:noWrap w:val="0"/>
            <w:vAlign w:val="center"/>
          </w:tcPr>
          <w:p w14:paraId="5E1BF510">
            <w:pPr>
              <w:adjustRightInd w:val="0"/>
              <w:snapToGrid w:val="0"/>
              <w:spacing w:before="156" w:beforeLines="50" w:line="40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sym w:font="Wingdings 2" w:char="0052"/>
            </w:r>
            <w:r>
              <w:rPr>
                <w:rFonts w:hint="eastAsia" w:ascii="宋体" w:hAnsi="宋体" w:eastAsia="宋体" w:cs="宋体"/>
                <w:b/>
                <w:bCs/>
                <w:color w:val="auto"/>
                <w:sz w:val="24"/>
                <w:szCs w:val="24"/>
                <w:highlight w:val="none"/>
              </w:rPr>
              <w:t>公开招标（采购人和采购代理机构）</w:t>
            </w:r>
            <w:r>
              <w:rPr>
                <w:rFonts w:hint="eastAsia" w:ascii="宋体" w:hAnsi="宋体" w:eastAsia="宋体" w:cs="宋体"/>
                <w:color w:val="auto"/>
                <w:sz w:val="24"/>
                <w:szCs w:val="24"/>
                <w:highlight w:val="none"/>
              </w:rPr>
              <w:t>。</w:t>
            </w:r>
          </w:p>
          <w:p w14:paraId="336A2944">
            <w:pPr>
              <w:adjustRightInd w:val="0"/>
              <w:snapToGrid w:val="0"/>
              <w:spacing w:before="156" w:beforeLines="50"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非公开招标（评标委员会）。</w:t>
            </w:r>
          </w:p>
        </w:tc>
      </w:tr>
      <w:tr w14:paraId="14CEC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02" w:type="dxa"/>
            <w:vMerge w:val="restart"/>
            <w:noWrap w:val="0"/>
            <w:vAlign w:val="center"/>
          </w:tcPr>
          <w:p w14:paraId="7AD58FFB">
            <w:pPr>
              <w:adjustRightIn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4" w:type="dxa"/>
            <w:gridSpan w:val="2"/>
            <w:noWrap w:val="0"/>
            <w:vAlign w:val="center"/>
          </w:tcPr>
          <w:p w14:paraId="7CE94398">
            <w:pPr>
              <w:adjustRightInd w:val="0"/>
              <w:snapToGrid w:val="0"/>
              <w:spacing w:before="156" w:beforeLines="5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投标保证金</w:t>
            </w:r>
          </w:p>
        </w:tc>
        <w:tc>
          <w:tcPr>
            <w:tcW w:w="5662" w:type="dxa"/>
            <w:noWrap w:val="0"/>
            <w:vAlign w:val="center"/>
          </w:tcPr>
          <w:p w14:paraId="6247F69E">
            <w:pPr>
              <w:adjustRightInd w:val="0"/>
              <w:snapToGrid w:val="0"/>
              <w:spacing w:before="156" w:beforeLines="50"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不收取</w:t>
            </w:r>
          </w:p>
        </w:tc>
      </w:tr>
      <w:tr w14:paraId="29F39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02" w:type="dxa"/>
            <w:vMerge w:val="continue"/>
            <w:noWrap w:val="0"/>
            <w:vAlign w:val="center"/>
          </w:tcPr>
          <w:p w14:paraId="01A8E467">
            <w:pPr>
              <w:adjustRightInd w:val="0"/>
              <w:spacing w:line="420" w:lineRule="exact"/>
              <w:jc w:val="center"/>
              <w:rPr>
                <w:rFonts w:hint="eastAsia" w:ascii="宋体" w:hAnsi="宋体" w:eastAsia="宋体" w:cs="宋体"/>
                <w:color w:val="auto"/>
                <w:sz w:val="24"/>
                <w:szCs w:val="24"/>
                <w:highlight w:val="none"/>
              </w:rPr>
            </w:pPr>
          </w:p>
        </w:tc>
        <w:tc>
          <w:tcPr>
            <w:tcW w:w="1954" w:type="dxa"/>
            <w:gridSpan w:val="2"/>
            <w:noWrap w:val="0"/>
            <w:vAlign w:val="center"/>
          </w:tcPr>
          <w:p w14:paraId="4F2A7A18">
            <w:pPr>
              <w:adjustRightInd w:val="0"/>
              <w:snapToGrid w:val="0"/>
              <w:spacing w:before="156" w:beforeLines="5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履约保证金</w:t>
            </w:r>
          </w:p>
        </w:tc>
        <w:tc>
          <w:tcPr>
            <w:tcW w:w="5662" w:type="dxa"/>
            <w:noWrap w:val="0"/>
            <w:vAlign w:val="center"/>
          </w:tcPr>
          <w:p w14:paraId="7B6A4169">
            <w:pPr>
              <w:adjustRightInd w:val="0"/>
              <w:snapToGrid w:val="0"/>
              <w:spacing w:before="156" w:beforeLines="50"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不收取</w:t>
            </w:r>
          </w:p>
        </w:tc>
      </w:tr>
      <w:tr w14:paraId="16EDB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02" w:type="dxa"/>
            <w:vMerge w:val="continue"/>
            <w:noWrap w:val="0"/>
            <w:vAlign w:val="center"/>
          </w:tcPr>
          <w:p w14:paraId="27E200A2">
            <w:pPr>
              <w:adjustRightInd w:val="0"/>
              <w:spacing w:line="420" w:lineRule="exact"/>
              <w:jc w:val="center"/>
              <w:rPr>
                <w:rFonts w:hint="eastAsia" w:ascii="宋体" w:hAnsi="宋体" w:eastAsia="宋体" w:cs="宋体"/>
                <w:color w:val="auto"/>
                <w:sz w:val="24"/>
                <w:szCs w:val="24"/>
                <w:highlight w:val="none"/>
              </w:rPr>
            </w:pPr>
          </w:p>
        </w:tc>
        <w:tc>
          <w:tcPr>
            <w:tcW w:w="1954" w:type="dxa"/>
            <w:gridSpan w:val="2"/>
            <w:noWrap w:val="0"/>
            <w:vAlign w:val="center"/>
          </w:tcPr>
          <w:p w14:paraId="7ADEF3CF">
            <w:pPr>
              <w:adjustRightInd w:val="0"/>
              <w:snapToGrid w:val="0"/>
              <w:spacing w:before="156" w:beforeLines="5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质量保证金</w:t>
            </w:r>
          </w:p>
        </w:tc>
        <w:tc>
          <w:tcPr>
            <w:tcW w:w="5662" w:type="dxa"/>
            <w:noWrap w:val="0"/>
            <w:vAlign w:val="center"/>
          </w:tcPr>
          <w:p w14:paraId="343EA7F2">
            <w:pPr>
              <w:adjustRightInd w:val="0"/>
              <w:snapToGrid w:val="0"/>
              <w:spacing w:before="156" w:beforeLines="50"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不收取</w:t>
            </w:r>
          </w:p>
        </w:tc>
      </w:tr>
      <w:tr w14:paraId="4B2A0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02" w:type="dxa"/>
            <w:vMerge w:val="continue"/>
            <w:noWrap w:val="0"/>
            <w:vAlign w:val="center"/>
          </w:tcPr>
          <w:p w14:paraId="7A370244">
            <w:pPr>
              <w:adjustRightInd w:val="0"/>
              <w:spacing w:line="420" w:lineRule="exact"/>
              <w:jc w:val="center"/>
              <w:rPr>
                <w:rFonts w:hint="eastAsia" w:ascii="宋体" w:hAnsi="宋体" w:eastAsia="宋体" w:cs="宋体"/>
                <w:color w:val="auto"/>
                <w:sz w:val="24"/>
                <w:szCs w:val="24"/>
                <w:highlight w:val="none"/>
              </w:rPr>
            </w:pPr>
          </w:p>
        </w:tc>
        <w:tc>
          <w:tcPr>
            <w:tcW w:w="1954" w:type="dxa"/>
            <w:gridSpan w:val="2"/>
            <w:noWrap w:val="0"/>
            <w:vAlign w:val="center"/>
          </w:tcPr>
          <w:p w14:paraId="554515A6">
            <w:pPr>
              <w:adjustRightInd w:val="0"/>
              <w:snapToGrid w:val="0"/>
              <w:spacing w:before="156" w:beforeLines="5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招标文件费用</w:t>
            </w:r>
          </w:p>
        </w:tc>
        <w:tc>
          <w:tcPr>
            <w:tcW w:w="5662" w:type="dxa"/>
            <w:noWrap w:val="0"/>
            <w:vAlign w:val="center"/>
          </w:tcPr>
          <w:p w14:paraId="52D6FC2B">
            <w:pPr>
              <w:adjustRightInd w:val="0"/>
              <w:snapToGrid w:val="0"/>
              <w:spacing w:before="156" w:beforeLines="50"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不收取</w:t>
            </w:r>
          </w:p>
        </w:tc>
      </w:tr>
      <w:tr w14:paraId="4807F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02" w:type="dxa"/>
            <w:noWrap w:val="0"/>
            <w:vAlign w:val="center"/>
          </w:tcPr>
          <w:p w14:paraId="35D30926">
            <w:pPr>
              <w:adjustRightIn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4" w:type="dxa"/>
            <w:gridSpan w:val="2"/>
            <w:noWrap w:val="0"/>
            <w:vAlign w:val="center"/>
          </w:tcPr>
          <w:p w14:paraId="2D23FA32">
            <w:pPr>
              <w:adjustRightInd w:val="0"/>
              <w:snapToGrid w:val="0"/>
              <w:spacing w:before="156" w:beforeLines="50"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采购项目属性</w:t>
            </w:r>
          </w:p>
        </w:tc>
        <w:tc>
          <w:tcPr>
            <w:tcW w:w="5662" w:type="dxa"/>
            <w:noWrap w:val="0"/>
            <w:vAlign w:val="center"/>
          </w:tcPr>
          <w:p w14:paraId="6532D009">
            <w:pPr>
              <w:adjustRightInd w:val="0"/>
              <w:snapToGrid w:val="0"/>
              <w:spacing w:before="156" w:beforeLines="5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sym w:font="Wingdings 2" w:char="00A3"/>
            </w:r>
            <w:r>
              <w:rPr>
                <w:rFonts w:hint="eastAsia" w:ascii="宋体" w:hAnsi="宋体" w:eastAsia="宋体" w:cs="宋体"/>
                <w:b/>
                <w:bCs/>
                <w:color w:val="auto"/>
                <w:sz w:val="24"/>
                <w:szCs w:val="24"/>
                <w:highlight w:val="none"/>
              </w:rPr>
              <w:t xml:space="preserve">货物     </w:t>
            </w:r>
            <w:r>
              <w:rPr>
                <w:rFonts w:hint="eastAsia" w:ascii="宋体" w:hAnsi="宋体" w:eastAsia="宋体" w:cs="宋体"/>
                <w:b/>
                <w:bCs/>
                <w:color w:val="auto"/>
                <w:sz w:val="24"/>
                <w:szCs w:val="24"/>
                <w:highlight w:val="none"/>
              </w:rPr>
              <w:sym w:font="Wingdings 2" w:char="00A3"/>
            </w:r>
            <w:r>
              <w:rPr>
                <w:rFonts w:hint="eastAsia" w:ascii="宋体" w:hAnsi="宋体" w:eastAsia="宋体" w:cs="宋体"/>
                <w:b/>
                <w:bCs/>
                <w:color w:val="auto"/>
                <w:sz w:val="24"/>
                <w:szCs w:val="24"/>
                <w:highlight w:val="none"/>
              </w:rPr>
              <w:t xml:space="preserve">工程     </w:t>
            </w:r>
            <w:r>
              <w:rPr>
                <w:rFonts w:hint="eastAsia" w:ascii="宋体" w:hAnsi="宋体" w:eastAsia="宋体" w:cs="宋体"/>
                <w:color w:val="auto"/>
                <w:sz w:val="24"/>
                <w:szCs w:val="24"/>
                <w:highlight w:val="none"/>
              </w:rPr>
              <w:sym w:font="Wingdings 2" w:char="0052"/>
            </w:r>
            <w:r>
              <w:rPr>
                <w:rFonts w:hint="eastAsia" w:ascii="宋体" w:hAnsi="宋体" w:eastAsia="宋体" w:cs="宋体"/>
                <w:b/>
                <w:bCs/>
                <w:color w:val="auto"/>
                <w:sz w:val="24"/>
                <w:szCs w:val="24"/>
                <w:highlight w:val="none"/>
              </w:rPr>
              <w:t>服务</w:t>
            </w:r>
          </w:p>
        </w:tc>
      </w:tr>
      <w:tr w14:paraId="29306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302" w:type="dxa"/>
            <w:noWrap w:val="0"/>
            <w:vAlign w:val="center"/>
          </w:tcPr>
          <w:p w14:paraId="4ACD6C34">
            <w:pPr>
              <w:adjustRightInd w:val="0"/>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4" w:type="dxa"/>
            <w:gridSpan w:val="2"/>
            <w:noWrap w:val="0"/>
            <w:vAlign w:val="center"/>
          </w:tcPr>
          <w:p w14:paraId="64D9D081">
            <w:pPr>
              <w:adjustRightInd w:val="0"/>
              <w:snapToGrid w:val="0"/>
              <w:spacing w:before="156" w:beforeLines="5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是否专门面向中小企业或小型、微型企业采购</w:t>
            </w:r>
          </w:p>
        </w:tc>
        <w:tc>
          <w:tcPr>
            <w:tcW w:w="5662" w:type="dxa"/>
            <w:noWrap w:val="0"/>
            <w:vAlign w:val="center"/>
          </w:tcPr>
          <w:p w14:paraId="0C4EEB9B">
            <w:pPr>
              <w:spacing w:line="46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是否专门面向中小企业：是</w:t>
            </w:r>
            <w:r>
              <w:rPr>
                <w:rFonts w:hint="eastAsia" w:ascii="宋体" w:hAnsi="宋体" w:eastAsia="宋体" w:cs="宋体"/>
                <w:b/>
                <w:bCs/>
                <w:color w:val="auto"/>
                <w:kern w:val="0"/>
                <w:sz w:val="24"/>
                <w:szCs w:val="24"/>
                <w:highlight w:val="none"/>
              </w:rPr>
              <w:sym w:font="Wingdings 2" w:char="0052"/>
            </w:r>
            <w:r>
              <w:rPr>
                <w:rFonts w:hint="eastAsia" w:ascii="宋体" w:hAnsi="宋体" w:eastAsia="宋体" w:cs="宋体"/>
                <w:b/>
                <w:bCs/>
                <w:color w:val="auto"/>
                <w:kern w:val="0"/>
                <w:sz w:val="24"/>
                <w:szCs w:val="24"/>
                <w:highlight w:val="none"/>
              </w:rPr>
              <w:t xml:space="preserve">  否</w:t>
            </w:r>
            <w:r>
              <w:rPr>
                <w:rFonts w:hint="eastAsia" w:ascii="宋体" w:hAnsi="宋体" w:eastAsia="宋体" w:cs="宋体"/>
                <w:b/>
                <w:bCs/>
                <w:color w:val="auto"/>
                <w:sz w:val="24"/>
                <w:szCs w:val="24"/>
                <w:highlight w:val="none"/>
              </w:rPr>
              <w:sym w:font="Wingdings 2" w:char="00A3"/>
            </w:r>
          </w:p>
        </w:tc>
      </w:tr>
      <w:tr w14:paraId="66169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02" w:type="dxa"/>
            <w:noWrap w:val="0"/>
            <w:vAlign w:val="center"/>
          </w:tcPr>
          <w:p w14:paraId="0C4AEF11">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616" w:type="dxa"/>
            <w:gridSpan w:val="3"/>
            <w:noWrap w:val="0"/>
            <w:vAlign w:val="center"/>
          </w:tcPr>
          <w:p w14:paraId="3B3E9EB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r>
      <w:tr w14:paraId="6CB4F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302" w:type="dxa"/>
            <w:noWrap w:val="0"/>
            <w:vAlign w:val="center"/>
          </w:tcPr>
          <w:p w14:paraId="5D927B69">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300" w:type="dxa"/>
            <w:noWrap w:val="0"/>
            <w:vAlign w:val="center"/>
          </w:tcPr>
          <w:p w14:paraId="4D4D3968">
            <w:pPr>
              <w:adjustRightInd w:val="0"/>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最高限价</w:t>
            </w:r>
          </w:p>
        </w:tc>
        <w:tc>
          <w:tcPr>
            <w:tcW w:w="6316" w:type="dxa"/>
            <w:gridSpan w:val="2"/>
            <w:noWrap w:val="0"/>
            <w:vAlign w:val="center"/>
          </w:tcPr>
          <w:p w14:paraId="3437E61A">
            <w:pPr>
              <w:spacing w:line="312"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第一标包最高限价：</w:t>
            </w:r>
            <w:r>
              <w:rPr>
                <w:rFonts w:hint="eastAsia" w:ascii="宋体" w:hAnsi="宋体" w:eastAsia="宋体" w:cs="宋体"/>
                <w:color w:val="auto"/>
                <w:sz w:val="22"/>
                <w:szCs w:val="22"/>
                <w:highlight w:val="none"/>
                <w:u w:val="single"/>
                <w:lang w:val="en-US" w:eastAsia="zh-CN"/>
              </w:rPr>
              <w:t>1160000.00</w:t>
            </w:r>
            <w:r>
              <w:rPr>
                <w:rFonts w:hint="eastAsia" w:ascii="宋体" w:hAnsi="宋体" w:eastAsia="宋体" w:cs="宋体"/>
                <w:color w:val="auto"/>
                <w:sz w:val="22"/>
                <w:szCs w:val="22"/>
                <w:highlight w:val="none"/>
              </w:rPr>
              <w:t>元，面积</w:t>
            </w:r>
            <w:r>
              <w:rPr>
                <w:rFonts w:hint="eastAsia" w:ascii="宋体" w:hAnsi="宋体" w:eastAsia="宋体" w:cs="宋体"/>
                <w:color w:val="auto"/>
                <w:sz w:val="22"/>
                <w:szCs w:val="22"/>
                <w:highlight w:val="none"/>
                <w:u w:val="single"/>
                <w:lang w:val="en-US" w:eastAsia="zh-CN"/>
              </w:rPr>
              <w:t>1239.8</w:t>
            </w:r>
            <w:r>
              <w:rPr>
                <w:rFonts w:hint="eastAsia" w:ascii="宋体" w:hAnsi="宋体" w:eastAsia="宋体" w:cs="宋体"/>
                <w:color w:val="auto"/>
                <w:sz w:val="22"/>
                <w:szCs w:val="22"/>
                <w:highlight w:val="none"/>
                <w:u w:val="single"/>
              </w:rPr>
              <w:t>亩</w:t>
            </w:r>
            <w:r>
              <w:rPr>
                <w:rFonts w:hint="eastAsia" w:ascii="宋体" w:hAnsi="宋体" w:eastAsia="宋体" w:cs="宋体"/>
                <w:color w:val="auto"/>
                <w:sz w:val="22"/>
                <w:szCs w:val="22"/>
                <w:highlight w:val="none"/>
              </w:rPr>
              <w:t>；</w:t>
            </w:r>
          </w:p>
          <w:p w14:paraId="2107B368">
            <w:pPr>
              <w:spacing w:line="312"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第二标包最高限价：</w:t>
            </w:r>
            <w:r>
              <w:rPr>
                <w:rFonts w:hint="eastAsia" w:ascii="宋体" w:hAnsi="宋体" w:eastAsia="宋体" w:cs="宋体"/>
                <w:b/>
                <w:bCs/>
                <w:color w:val="auto"/>
                <w:sz w:val="22"/>
                <w:szCs w:val="22"/>
                <w:highlight w:val="none"/>
                <w:u w:val="single"/>
                <w:lang w:val="en-US" w:eastAsia="zh-CN"/>
              </w:rPr>
              <w:t>860000.00</w:t>
            </w:r>
            <w:r>
              <w:rPr>
                <w:rFonts w:hint="eastAsia" w:ascii="宋体" w:hAnsi="宋体" w:eastAsia="宋体" w:cs="宋体"/>
                <w:color w:val="auto"/>
                <w:sz w:val="22"/>
                <w:szCs w:val="22"/>
                <w:highlight w:val="none"/>
              </w:rPr>
              <w:t>元，面积</w:t>
            </w:r>
            <w:r>
              <w:rPr>
                <w:rFonts w:hint="eastAsia" w:ascii="宋体" w:hAnsi="宋体" w:eastAsia="宋体" w:cs="宋体"/>
                <w:color w:val="auto"/>
                <w:sz w:val="22"/>
                <w:szCs w:val="22"/>
                <w:highlight w:val="none"/>
                <w:u w:val="single"/>
                <w:lang w:val="en-US" w:eastAsia="zh-CN"/>
              </w:rPr>
              <w:t>2016.5</w:t>
            </w:r>
            <w:r>
              <w:rPr>
                <w:rFonts w:hint="eastAsia" w:ascii="宋体" w:hAnsi="宋体" w:eastAsia="宋体" w:cs="宋体"/>
                <w:color w:val="auto"/>
                <w:sz w:val="22"/>
                <w:szCs w:val="22"/>
                <w:highlight w:val="none"/>
              </w:rPr>
              <w:t>亩；</w:t>
            </w:r>
          </w:p>
          <w:p w14:paraId="66276A61">
            <w:pPr>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2"/>
                <w:szCs w:val="22"/>
                <w:highlight w:val="none"/>
              </w:rPr>
              <w:t>注：各标包报价均不得超过相应的最高限价，超过最高限价的将视为无效投标，其投标文件将不再被评审。</w:t>
            </w:r>
          </w:p>
        </w:tc>
      </w:tr>
      <w:tr w14:paraId="28C29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1302" w:type="dxa"/>
            <w:noWrap w:val="0"/>
            <w:vAlign w:val="center"/>
          </w:tcPr>
          <w:p w14:paraId="1460DB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0" w:type="dxa"/>
            <w:noWrap w:val="0"/>
            <w:vAlign w:val="center"/>
          </w:tcPr>
          <w:p w14:paraId="7C6F697B">
            <w:pPr>
              <w:adjustRightInd w:val="0"/>
              <w:snapToGrid w:val="0"/>
              <w:spacing w:before="156" w:beforeLines="5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接收质疑函的方式和联系方式</w:t>
            </w:r>
          </w:p>
        </w:tc>
        <w:tc>
          <w:tcPr>
            <w:tcW w:w="6316" w:type="dxa"/>
            <w:gridSpan w:val="2"/>
            <w:noWrap w:val="0"/>
            <w:vAlign w:val="center"/>
          </w:tcPr>
          <w:p w14:paraId="5654EB96">
            <w:pPr>
              <w:adjustRightInd w:val="0"/>
              <w:snapToGrid w:val="0"/>
              <w:spacing w:before="156" w:beforeLines="5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质疑函应在平顶山市公共资源交易系统中接收，质疑函的格式和内容应当符合相关法律法规的要求。联系方式如下：</w:t>
            </w:r>
          </w:p>
          <w:p w14:paraId="1825F65D">
            <w:pPr>
              <w:adjustRightInd w:val="0"/>
              <w:snapToGrid w:val="0"/>
              <w:spacing w:before="156" w:beforeLines="5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马帅军</w:t>
            </w:r>
            <w:r>
              <w:rPr>
                <w:rFonts w:hint="eastAsia" w:ascii="宋体" w:hAnsi="宋体" w:eastAsia="宋体" w:cs="宋体"/>
                <w:color w:val="auto"/>
                <w:sz w:val="24"/>
                <w:szCs w:val="24"/>
                <w:highlight w:val="none"/>
              </w:rPr>
              <w:t>　 联系电话：</w:t>
            </w:r>
            <w:r>
              <w:rPr>
                <w:rFonts w:hint="eastAsia" w:ascii="宋体" w:hAnsi="宋体" w:eastAsia="宋体" w:cs="宋体"/>
                <w:color w:val="auto"/>
                <w:sz w:val="24"/>
                <w:highlight w:val="none"/>
                <w:lang w:val="en-US" w:eastAsia="zh-CN"/>
              </w:rPr>
              <w:t>13949037203</w:t>
            </w:r>
            <w:r>
              <w:rPr>
                <w:rFonts w:hint="eastAsia" w:ascii="宋体" w:hAnsi="宋体" w:eastAsia="宋体" w:cs="宋体"/>
                <w:color w:val="auto"/>
                <w:sz w:val="24"/>
                <w:szCs w:val="24"/>
                <w:highlight w:val="none"/>
              </w:rPr>
              <w:t xml:space="preserve"> </w:t>
            </w:r>
          </w:p>
          <w:p w14:paraId="7CDBEF4C">
            <w:pPr>
              <w:adjustRightInd w:val="0"/>
              <w:snapToGrid w:val="0"/>
              <w:spacing w:before="156" w:beforeLines="5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对供应商提出的质疑，采购人、采购代理机构应当依法及时答复和处理，不得推诿扯皮故意刁难，须进行实质性回应。</w:t>
            </w:r>
          </w:p>
        </w:tc>
      </w:tr>
      <w:tr w14:paraId="76F8C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302" w:type="dxa"/>
            <w:noWrap w:val="0"/>
            <w:vAlign w:val="center"/>
          </w:tcPr>
          <w:p w14:paraId="33AC367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1300" w:type="dxa"/>
            <w:noWrap w:val="0"/>
            <w:vAlign w:val="center"/>
          </w:tcPr>
          <w:p w14:paraId="53886F86">
            <w:pPr>
              <w:adjustRightInd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所属行业</w:t>
            </w:r>
          </w:p>
        </w:tc>
        <w:tc>
          <w:tcPr>
            <w:tcW w:w="6316" w:type="dxa"/>
            <w:gridSpan w:val="2"/>
            <w:noWrap w:val="0"/>
            <w:vAlign w:val="center"/>
          </w:tcPr>
          <w:p w14:paraId="62050848">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其他未列明行业</w:t>
            </w:r>
          </w:p>
          <w:p w14:paraId="28F8375E">
            <w:pPr>
              <w:spacing w:line="400" w:lineRule="exac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highlight w:val="none"/>
                <w:lang w:bidi="ar"/>
              </w:rPr>
              <w:t>划定标准为：中小微企业划分按照《国家统计局关于印发&lt;统计上大中小 微型企业划分办法（2017）&gt;的通知》国统字【2017】213 号文件及《工 业和信息化部、国家统计局、国家发展和改革委员会、财政部关于印发&lt; 中小企业划型标准规定&gt;（工信部联企业〔2011〕300 号）规定的划分标准为依据。</w:t>
            </w:r>
          </w:p>
        </w:tc>
      </w:tr>
      <w:tr w14:paraId="6F9B7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1302" w:type="dxa"/>
            <w:noWrap w:val="0"/>
            <w:vAlign w:val="center"/>
          </w:tcPr>
          <w:p w14:paraId="17F9DD8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1300" w:type="dxa"/>
            <w:noWrap w:val="0"/>
            <w:vAlign w:val="center"/>
          </w:tcPr>
          <w:p w14:paraId="6456EFAA">
            <w:pPr>
              <w:adjustRightInd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政府采购政策</w:t>
            </w:r>
          </w:p>
        </w:tc>
        <w:tc>
          <w:tcPr>
            <w:tcW w:w="6316" w:type="dxa"/>
            <w:gridSpan w:val="2"/>
            <w:noWrap w:val="0"/>
            <w:vAlign w:val="center"/>
          </w:tcPr>
          <w:p w14:paraId="6243238E">
            <w:pPr>
              <w:spacing w:line="500" w:lineRule="exact"/>
              <w:ind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本项目专门针对小微企业，不再执行价格优惠政策。</w:t>
            </w:r>
          </w:p>
          <w:p w14:paraId="3BC070B9">
            <w:pPr>
              <w:spacing w:line="50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监狱企业、残疾人福利性企业、小型和微型企业产品价格给予扣除标准：</w:t>
            </w:r>
          </w:p>
          <w:p w14:paraId="4785BCE0">
            <w:pPr>
              <w:spacing w:line="500" w:lineRule="exact"/>
              <w:ind w:firstLine="360" w:firstLineChars="15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根据《政府采购促进中小企业发展管理办法》(财库[2020]46号)的规定，</w:t>
            </w:r>
            <w:r>
              <w:rPr>
                <w:rFonts w:hint="eastAsia" w:ascii="宋体" w:hAnsi="宋体" w:eastAsia="宋体" w:cs="宋体"/>
                <w:color w:val="auto"/>
                <w:sz w:val="24"/>
                <w:highlight w:val="none"/>
              </w:rPr>
              <w:t>（对于未预留份额专门面向中小企业采购的项目以及预留份额项目中的非预留部分采购包）对小型和微型企业产品的价格给予5%的扣除，用扣除后的报价参与评审。</w:t>
            </w:r>
          </w:p>
          <w:p w14:paraId="552B383A">
            <w:pPr>
              <w:spacing w:line="50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2BC3D141">
            <w:pPr>
              <w:spacing w:line="50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根据《 财政部、民政部、中国残疾人联合会关于促进残疾人就业政府采购政策的通知》（财库[2017]141号）的规定，提供《残疾人福利性单位声明函》，并对声明的真实性负责。中标/成交供应商为残疾人福利性单位的，采购人应当随中标/成交结果同时公告其《残疾人福利性单位声明函》，接受社会监督。提供的《残疾人福利性单位声明函》与事实不符的，依照《政府采购法》第七十七条第一款的规定追究法律责任。残疾人福利性单位属于小型、微型企业的，不重复享受政策。</w:t>
            </w:r>
          </w:p>
          <w:p w14:paraId="192122A0">
            <w:pPr>
              <w:adjustRightIn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Cs/>
                <w:snapToGrid w:val="0"/>
                <w:color w:val="auto"/>
                <w:kern w:val="0"/>
                <w:sz w:val="24"/>
                <w:highlight w:val="none"/>
              </w:rPr>
              <w:t>残疾人福利性单位视同小型、微型企业，享受预留份额、评审中价格扣除等政府采购政策。</w:t>
            </w:r>
          </w:p>
        </w:tc>
      </w:tr>
      <w:tr w14:paraId="33D66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1" w:hRule="atLeast"/>
        </w:trPr>
        <w:tc>
          <w:tcPr>
            <w:tcW w:w="1302" w:type="dxa"/>
            <w:noWrap w:val="0"/>
            <w:vAlign w:val="center"/>
          </w:tcPr>
          <w:p w14:paraId="24204CC5">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w:t>
            </w:r>
          </w:p>
        </w:tc>
        <w:tc>
          <w:tcPr>
            <w:tcW w:w="1300" w:type="dxa"/>
            <w:noWrap w:val="0"/>
            <w:vAlign w:val="center"/>
          </w:tcPr>
          <w:p w14:paraId="3395E96F">
            <w:pPr>
              <w:spacing w:line="440" w:lineRule="exact"/>
              <w:jc w:val="center"/>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解释权</w:t>
            </w:r>
          </w:p>
        </w:tc>
        <w:tc>
          <w:tcPr>
            <w:tcW w:w="6316" w:type="dxa"/>
            <w:gridSpan w:val="2"/>
            <w:noWrap w:val="0"/>
            <w:vAlign w:val="center"/>
          </w:tcPr>
          <w:p w14:paraId="6525817E">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采购阶段的规定，按采购公告、供应商须知、采购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14:paraId="37A64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302" w:type="dxa"/>
            <w:noWrap w:val="0"/>
            <w:vAlign w:val="center"/>
          </w:tcPr>
          <w:p w14:paraId="18513BFE">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300" w:type="dxa"/>
            <w:noWrap w:val="0"/>
            <w:vAlign w:val="center"/>
          </w:tcPr>
          <w:p w14:paraId="6DB0A0C1">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其他补充说明</w:t>
            </w:r>
          </w:p>
        </w:tc>
        <w:tc>
          <w:tcPr>
            <w:tcW w:w="6316" w:type="dxa"/>
            <w:gridSpan w:val="2"/>
            <w:noWrap w:val="0"/>
            <w:vAlign w:val="center"/>
          </w:tcPr>
          <w:p w14:paraId="2F67D5E8">
            <w:pPr>
              <w:adjustRightInd w:val="0"/>
              <w:spacing w:line="460" w:lineRule="exac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中标或成交供应商合同签订方式为在线签订（在公共资源交易中心网站进行）、投标人自行踏勘现场，投标人踏勘现场发生的费用自理</w:t>
            </w:r>
          </w:p>
        </w:tc>
      </w:tr>
      <w:tr w14:paraId="5A285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302" w:type="dxa"/>
            <w:noWrap w:val="0"/>
            <w:vAlign w:val="center"/>
          </w:tcPr>
          <w:p w14:paraId="3F240466">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（7）</w:t>
            </w:r>
          </w:p>
        </w:tc>
        <w:tc>
          <w:tcPr>
            <w:tcW w:w="1300" w:type="dxa"/>
            <w:noWrap w:val="0"/>
            <w:vAlign w:val="center"/>
          </w:tcPr>
          <w:p w14:paraId="31579442">
            <w:pPr>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政采领域优化营商环境</w:t>
            </w:r>
          </w:p>
          <w:p w14:paraId="25D6A9CD">
            <w:pPr>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
                <w:color w:val="auto"/>
                <w:sz w:val="24"/>
                <w:highlight w:val="none"/>
              </w:rPr>
              <w:t>相关政策</w:t>
            </w:r>
          </w:p>
        </w:tc>
        <w:tc>
          <w:tcPr>
            <w:tcW w:w="6316" w:type="dxa"/>
            <w:gridSpan w:val="2"/>
            <w:noWrap w:val="0"/>
            <w:vAlign w:val="center"/>
          </w:tcPr>
          <w:p w14:paraId="3F865C22">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一、落实四个“一日办”精神：</w:t>
            </w:r>
          </w:p>
          <w:p w14:paraId="0C7114B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按照《平顶山市财政局关于压减政府采购各环节时限 进一步优化政府采购营商环境的通知》（平财购〔2021〕34号）通知，落实四个“一日办”精神：</w:t>
            </w:r>
          </w:p>
          <w:p w14:paraId="6EF4900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（1）在评审结束后1日内确定采购结果，同时对中标单位发出中标或成交通知书，并在网上进行公告；</w:t>
            </w:r>
          </w:p>
          <w:p w14:paraId="489BC99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（2）中标或成交通知书发出后，1日内与中标或成交供应商签订合同，合同签订当日完成合同备案工作；</w:t>
            </w:r>
          </w:p>
          <w:p w14:paraId="51B07D8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（3）政府采购项目供应商履约完成后，采购人应在供应商提出验收申请1个工作日内完成验收，同时在平顶山市政府采购网发布验收结果公告；</w:t>
            </w:r>
          </w:p>
          <w:p w14:paraId="1ABB9E7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（4）验收合格具备付款条件的项目，采购人要在1个工作日内按照合同约定支付项目资金。</w:t>
            </w:r>
          </w:p>
          <w:p w14:paraId="4A1777A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注：签合同需法定代表人携带本人身份证（如为授权委托人，则携带法定代表人授权委托书及本人身份证）、单位公章、合同纸质版本一式六份及合同电子版。</w:t>
            </w:r>
          </w:p>
          <w:p w14:paraId="2BF9533F">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二、维护企业在政府采购活动中的知情权</w:t>
            </w:r>
          </w:p>
          <w:p w14:paraId="1296931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137F3C1">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三、提供中小企业声明函格式</w:t>
            </w:r>
          </w:p>
          <w:p w14:paraId="38E2530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在采购文件中，采购代理机构应按照财政部、工信部印发的《政府采购促进中小企业发展管理办法》的通知精神（财库〔2020〕46号）提供中小企业声明函格式。</w:t>
            </w:r>
          </w:p>
          <w:p w14:paraId="4829154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根据政府采购促进中小企业发展管理办法》（财库〔2020〕46号）第四条：在政府采购活动中，供应商提供的货物、工程或者服务符合下列情形的，享受本办法规定的中小企业扶持政策：</w:t>
            </w:r>
          </w:p>
          <w:p w14:paraId="724F543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（一）在货物采购项目中，货物由中小企业制造，即货物由中小企业生产且使用该中小企业商号或者注册商标；</w:t>
            </w:r>
          </w:p>
          <w:p w14:paraId="15A2B1C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（二）在工程采购项目中，工程由中小企业承建，即工程施工单位为中小企业；</w:t>
            </w:r>
          </w:p>
          <w:p w14:paraId="638495C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（三）在服务采购项目中，服务由中小企业承接，即提供服务的人员为中小企业依照《中华人民共和国劳动合同法》订立劳动合同的从业人员。</w:t>
            </w:r>
          </w:p>
          <w:p w14:paraId="46CBDD4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在货物采购项目中，投标人提供的货物既有中小企业制造货物，也有大型企业制造货物的，不享受本办法规定的中小企业扶持政策。</w:t>
            </w:r>
          </w:p>
          <w:p w14:paraId="0F650F6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5A0862A3">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四、推广政府采购合同融资</w:t>
            </w:r>
          </w:p>
          <w:p w14:paraId="653295D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要求采购人和代理机构将“政府采购合同融资告知函”写入招标/磋商文件，鼓励中标供应商凭借采购合同申请贷款，助力解决中小企业融资难、融资贵的问题。</w:t>
            </w:r>
          </w:p>
          <w:p w14:paraId="0314E3FD">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五、落实预留采购份额</w:t>
            </w:r>
          </w:p>
          <w:p w14:paraId="492F7D3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FE9845D">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六、落实价格评审优惠政策（本项目专门面向小微企业采购，不再执行价格评审优惠政策）</w:t>
            </w:r>
          </w:p>
          <w:p w14:paraId="434339B7">
            <w:pPr>
              <w:spacing w:line="46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4AA24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02" w:type="dxa"/>
            <w:noWrap w:val="0"/>
            <w:vAlign w:val="center"/>
          </w:tcPr>
          <w:p w14:paraId="1E4FA0A5">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(8)</w:t>
            </w:r>
          </w:p>
        </w:tc>
        <w:tc>
          <w:tcPr>
            <w:tcW w:w="1300" w:type="dxa"/>
            <w:noWrap w:val="0"/>
            <w:vAlign w:val="center"/>
          </w:tcPr>
          <w:p w14:paraId="568C0AB9">
            <w:pPr>
              <w:snapToGrid w:val="0"/>
              <w:ind w:firstLine="120" w:firstLineChars="5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四方信用评价</w:t>
            </w:r>
          </w:p>
        </w:tc>
        <w:tc>
          <w:tcPr>
            <w:tcW w:w="6316" w:type="dxa"/>
            <w:gridSpan w:val="2"/>
            <w:noWrap w:val="0"/>
            <w:vAlign w:val="center"/>
          </w:tcPr>
          <w:p w14:paraId="33D044D1">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平顶山市政府采购项目已实行四方信用评价功能，各方主体请登录“平顶山市政府采购网”按照评价要求进行客观公正的评价。</w:t>
            </w:r>
          </w:p>
          <w:p w14:paraId="78DE510C">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1.采购人评价指标</w:t>
            </w:r>
          </w:p>
          <w:p w14:paraId="7941D1D8">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评价主体:中标、成交供应商。</w:t>
            </w:r>
          </w:p>
          <w:p w14:paraId="7A64CFA7">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评价节点:合同履约完成后。</w:t>
            </w:r>
          </w:p>
          <w:p w14:paraId="2E722CA9">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2.对中标、成交供应商评价指标</w:t>
            </w:r>
          </w:p>
          <w:p w14:paraId="5C336A08">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评价主体为:采购人。</w:t>
            </w:r>
          </w:p>
          <w:p w14:paraId="63B8A367">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评价节点:合同履约完成后。</w:t>
            </w:r>
          </w:p>
          <w:p w14:paraId="12F272A0">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3.评审专家评价指标</w:t>
            </w:r>
          </w:p>
          <w:p w14:paraId="34D9F46E">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评价主体为:采购人、代理机构。</w:t>
            </w:r>
          </w:p>
          <w:p w14:paraId="0A51DC50">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评价节点:项目评审结束后。</w:t>
            </w:r>
          </w:p>
          <w:p w14:paraId="2426D016">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4.代理机构评价指标</w:t>
            </w:r>
          </w:p>
          <w:p w14:paraId="0124941B">
            <w:pPr>
              <w:widowControl/>
              <w:spacing w:line="5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评价主体为:采购人、评审专家、供应商。</w:t>
            </w:r>
          </w:p>
          <w:p w14:paraId="39FD6879">
            <w:pPr>
              <w:widowControl/>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评价节点:项目评审结束后。</w:t>
            </w:r>
          </w:p>
        </w:tc>
      </w:tr>
      <w:tr w14:paraId="2A42D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02" w:type="dxa"/>
            <w:noWrap w:val="0"/>
            <w:vAlign w:val="center"/>
          </w:tcPr>
          <w:p w14:paraId="43843D04">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(9)</w:t>
            </w:r>
          </w:p>
        </w:tc>
        <w:tc>
          <w:tcPr>
            <w:tcW w:w="1300" w:type="dxa"/>
            <w:noWrap w:val="0"/>
            <w:vAlign w:val="center"/>
          </w:tcPr>
          <w:p w14:paraId="4862671A">
            <w:pPr>
              <w:snapToGrid w:val="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代理服务费</w:t>
            </w:r>
          </w:p>
        </w:tc>
        <w:tc>
          <w:tcPr>
            <w:tcW w:w="6316" w:type="dxa"/>
            <w:gridSpan w:val="2"/>
            <w:noWrap w:val="0"/>
            <w:vAlign w:val="center"/>
          </w:tcPr>
          <w:p w14:paraId="482684C7">
            <w:pPr>
              <w:pStyle w:val="2"/>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参照河南省招标投标协会关于印发《河南省招标代理服务收费指导意见》的通知豫招协[2023]002号文件为依据，在领取中标通知书前由中标人一次性足额向代理机构支付。</w:t>
            </w:r>
          </w:p>
          <w:p w14:paraId="2A7112E1">
            <w:pPr>
              <w:pStyle w:val="2"/>
              <w:rPr>
                <w:rFonts w:hint="default" w:ascii="宋体" w:hAnsi="宋体" w:eastAsia="宋体" w:cs="宋体"/>
                <w:color w:val="auto"/>
                <w:sz w:val="26"/>
                <w:szCs w:val="26"/>
                <w:highlight w:val="none"/>
                <w:lang w:val="en-US" w:eastAsia="zh-CN"/>
              </w:rPr>
            </w:pPr>
            <w:r>
              <w:rPr>
                <w:rFonts w:hint="eastAsia" w:ascii="宋体" w:hAnsi="宋体" w:eastAsia="宋体" w:cs="宋体"/>
                <w:color w:val="auto"/>
                <w:sz w:val="26"/>
                <w:szCs w:val="26"/>
                <w:highlight w:val="none"/>
                <w:lang w:val="en-US" w:eastAsia="zh-CN"/>
              </w:rPr>
              <w:t>第一标段代理服务费：18920元</w:t>
            </w:r>
          </w:p>
          <w:p w14:paraId="2616A6CD">
            <w:pPr>
              <w:pStyle w:val="2"/>
              <w:rPr>
                <w:rFonts w:hint="default"/>
                <w:color w:val="auto"/>
                <w:highlight w:val="none"/>
                <w:lang w:val="en-US" w:eastAsia="zh-CN"/>
              </w:rPr>
            </w:pPr>
            <w:r>
              <w:rPr>
                <w:rFonts w:hint="eastAsia" w:ascii="宋体" w:hAnsi="宋体" w:eastAsia="宋体" w:cs="宋体"/>
                <w:color w:val="auto"/>
                <w:sz w:val="26"/>
                <w:szCs w:val="26"/>
                <w:highlight w:val="none"/>
                <w:lang w:val="en-US" w:eastAsia="zh-CN"/>
              </w:rPr>
              <w:t>第二标段代理服务费：14620元</w:t>
            </w:r>
          </w:p>
        </w:tc>
      </w:tr>
      <w:tr w14:paraId="56CD0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02" w:type="dxa"/>
            <w:noWrap w:val="0"/>
            <w:vAlign w:val="center"/>
          </w:tcPr>
          <w:p w14:paraId="6EB55010">
            <w:pPr>
              <w:adjustRightInd w:val="0"/>
              <w:spacing w:line="460" w:lineRule="exact"/>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(9)</w:t>
            </w:r>
          </w:p>
        </w:tc>
        <w:tc>
          <w:tcPr>
            <w:tcW w:w="7616" w:type="dxa"/>
            <w:gridSpan w:val="3"/>
            <w:noWrap w:val="0"/>
            <w:vAlign w:val="center"/>
          </w:tcPr>
          <w:p w14:paraId="46621CB1">
            <w:pPr>
              <w:adjustRightInd w:val="0"/>
              <w:snapToGrid w:val="0"/>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投标人须知前后不一致处，以本附表为准</w:t>
            </w:r>
          </w:p>
        </w:tc>
      </w:tr>
    </w:tbl>
    <w:p w14:paraId="443F17F3">
      <w:pPr>
        <w:spacing w:line="400" w:lineRule="exact"/>
        <w:jc w:val="center"/>
        <w:rPr>
          <w:rFonts w:hint="eastAsia" w:ascii="宋体" w:hAnsi="宋体" w:eastAsia="宋体" w:cs="宋体"/>
          <w:b/>
          <w:bCs/>
          <w:color w:val="auto"/>
          <w:sz w:val="32"/>
          <w:szCs w:val="32"/>
          <w:highlight w:val="none"/>
        </w:rPr>
      </w:pPr>
      <w:bookmarkStart w:id="67" w:name="_Toc318932193"/>
      <w:bookmarkEnd w:id="67"/>
    </w:p>
    <w:p w14:paraId="5205598E">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二．投标单位须知</w:t>
      </w:r>
    </w:p>
    <w:p w14:paraId="2D2BD958">
      <w:pPr>
        <w:spacing w:before="156" w:beforeLines="50" w:after="156" w:afterLines="5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（一）总则</w:t>
      </w:r>
    </w:p>
    <w:p w14:paraId="1CCC7E14">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 项目说明</w:t>
      </w:r>
    </w:p>
    <w:p w14:paraId="0858329C">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kern w:val="0"/>
          <w:sz w:val="24"/>
          <w:szCs w:val="24"/>
          <w:highlight w:val="none"/>
        </w:rPr>
        <w:t>根据《中华人民共和国政府采购法》及有关等有关法律、法规和规章的规定，本招标项目已具备招标条件，现通过招标方式选定供货商。</w:t>
      </w:r>
    </w:p>
    <w:p w14:paraId="34C7FD31">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本项目采购人：见投标单位须知前附表第1项。</w:t>
      </w:r>
    </w:p>
    <w:p w14:paraId="6878D4E0">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本项目采购代理机构：见投标单位须知前附表第2项。</w:t>
      </w:r>
    </w:p>
    <w:p w14:paraId="1BCDC363">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本项目名称：见投标单位须知前附表第3项。</w:t>
      </w:r>
    </w:p>
    <w:p w14:paraId="01A7F16F">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 本项目采购内容：见投标单位须知前附表第4项。</w:t>
      </w:r>
    </w:p>
    <w:p w14:paraId="68F3A1D6">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 本项目要求等：见投标单位须知前附表第5项。</w:t>
      </w:r>
    </w:p>
    <w:p w14:paraId="2F4B4771">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2.有关定义</w:t>
      </w:r>
    </w:p>
    <w:p w14:paraId="7F5EA97E">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采购人：采购人系指依法进行政府采购的国家机关、事业单位、团体组织。本次招标的采购人是</w:t>
      </w:r>
      <w:r>
        <w:rPr>
          <w:rFonts w:hint="eastAsia" w:ascii="宋体" w:hAnsi="宋体" w:eastAsia="宋体" w:cs="宋体"/>
          <w:b/>
          <w:bCs/>
          <w:color w:val="auto"/>
          <w:kern w:val="0"/>
          <w:sz w:val="24"/>
          <w:szCs w:val="24"/>
          <w:highlight w:val="none"/>
        </w:rPr>
        <w:t>国有鲁山林场</w:t>
      </w:r>
      <w:r>
        <w:rPr>
          <w:rFonts w:hint="eastAsia" w:ascii="宋体" w:hAnsi="宋体" w:eastAsia="宋体" w:cs="宋体"/>
          <w:color w:val="auto"/>
          <w:kern w:val="0"/>
          <w:sz w:val="24"/>
          <w:szCs w:val="24"/>
          <w:highlight w:val="none"/>
        </w:rPr>
        <w:t>。</w:t>
      </w:r>
    </w:p>
    <w:p w14:paraId="4B6C01D5">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采购代理机构：采购代理机构系指根据采购人的委托依法办理招标事宜的中介机构。本次招标的采购代理机构是</w:t>
      </w:r>
      <w:r>
        <w:rPr>
          <w:rFonts w:hint="eastAsia" w:ascii="宋体" w:hAnsi="宋体" w:eastAsia="宋体" w:cs="宋体"/>
          <w:b/>
          <w:bCs/>
          <w:color w:val="auto"/>
          <w:kern w:val="0"/>
          <w:sz w:val="24"/>
          <w:szCs w:val="24"/>
          <w:highlight w:val="none"/>
          <w:lang w:eastAsia="zh-CN"/>
        </w:rPr>
        <w:t>河南省亿达工程管理咨询有限公司</w:t>
      </w:r>
      <w:r>
        <w:rPr>
          <w:rFonts w:hint="eastAsia" w:ascii="宋体" w:hAnsi="宋体" w:eastAsia="宋体" w:cs="宋体"/>
          <w:color w:val="auto"/>
          <w:kern w:val="0"/>
          <w:sz w:val="24"/>
          <w:szCs w:val="24"/>
          <w:highlight w:val="none"/>
        </w:rPr>
        <w:t>。</w:t>
      </w:r>
    </w:p>
    <w:p w14:paraId="1B6641CC">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2.3合格的投标单位</w:t>
      </w:r>
    </w:p>
    <w:p w14:paraId="480115CB">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2.3.1具备投标单位资质要求的条件，详见投标单位须知前附表第6项；</w:t>
      </w:r>
    </w:p>
    <w:p w14:paraId="0D176569">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2.3.2购买了招标文件拟参加投标和向采购人提供相应服务的投标单位；</w:t>
      </w:r>
    </w:p>
    <w:p w14:paraId="7DCB06C9">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2.3.3遵守国家有关的法律、法规和条例。</w:t>
      </w:r>
    </w:p>
    <w:p w14:paraId="3F6B4035">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bookmarkStart w:id="68" w:name="_Toc152042311"/>
      <w:bookmarkEnd w:id="68"/>
      <w:bookmarkStart w:id="69" w:name="_Toc292893102"/>
      <w:bookmarkEnd w:id="69"/>
      <w:bookmarkStart w:id="70" w:name="_Toc152045535"/>
      <w:bookmarkEnd w:id="70"/>
      <w:bookmarkStart w:id="71" w:name="_Toc144974503"/>
      <w:bookmarkEnd w:id="71"/>
      <w:bookmarkStart w:id="72" w:name="_Toc179632552"/>
      <w:r>
        <w:rPr>
          <w:rFonts w:hint="eastAsia" w:ascii="宋体" w:hAnsi="宋体" w:eastAsia="宋体" w:cs="宋体"/>
          <w:b/>
          <w:bCs/>
          <w:color w:val="auto"/>
          <w:kern w:val="0"/>
          <w:sz w:val="24"/>
          <w:szCs w:val="24"/>
          <w:highlight w:val="none"/>
        </w:rPr>
        <w:t>3.</w:t>
      </w:r>
      <w:bookmarkEnd w:id="72"/>
      <w:r>
        <w:rPr>
          <w:rFonts w:hint="eastAsia" w:ascii="宋体" w:hAnsi="宋体" w:eastAsia="宋体" w:cs="宋体"/>
          <w:b/>
          <w:bCs/>
          <w:color w:val="auto"/>
          <w:kern w:val="0"/>
          <w:sz w:val="24"/>
          <w:szCs w:val="24"/>
          <w:highlight w:val="none"/>
        </w:rPr>
        <w:t>费用承担</w:t>
      </w:r>
    </w:p>
    <w:p w14:paraId="62AD7E3F">
      <w:pPr>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本项目不组织踏勘现场，投标单位应承担其编制招标文件与递交投标文件所涉及的一切费用。不管结果如何，投标单位应自行承担投标的全部费用。</w:t>
      </w:r>
    </w:p>
    <w:p w14:paraId="07E14BD6">
      <w:pPr>
        <w:adjustRightInd w:val="0"/>
        <w:snapToGrid w:val="0"/>
        <w:spacing w:before="156" w:beforeLines="50" w:after="156" w:afterLines="50" w:line="500" w:lineRule="exact"/>
        <w:ind w:firstLine="354" w:firstLineChars="147"/>
        <w:jc w:val="left"/>
        <w:rPr>
          <w:rFonts w:hint="eastAsia" w:ascii="宋体" w:hAnsi="宋体" w:eastAsia="宋体" w:cs="宋体"/>
          <w:b/>
          <w:bCs/>
          <w:color w:val="auto"/>
          <w:kern w:val="0"/>
          <w:sz w:val="24"/>
          <w:szCs w:val="24"/>
          <w:highlight w:val="none"/>
        </w:rPr>
      </w:pPr>
      <w:bookmarkStart w:id="73" w:name="_Toc144974505"/>
      <w:bookmarkEnd w:id="73"/>
      <w:bookmarkStart w:id="74" w:name="_Toc152042313"/>
      <w:bookmarkEnd w:id="74"/>
      <w:bookmarkStart w:id="75" w:name="_Toc179632554"/>
      <w:bookmarkEnd w:id="75"/>
      <w:bookmarkStart w:id="76" w:name="_Toc292893103"/>
      <w:bookmarkEnd w:id="76"/>
      <w:bookmarkStart w:id="77" w:name="_Toc152045537"/>
      <w:r>
        <w:rPr>
          <w:rFonts w:hint="eastAsia" w:ascii="宋体" w:hAnsi="宋体" w:eastAsia="宋体" w:cs="宋体"/>
          <w:b/>
          <w:bCs/>
          <w:color w:val="auto"/>
          <w:kern w:val="0"/>
          <w:sz w:val="24"/>
          <w:szCs w:val="24"/>
          <w:highlight w:val="none"/>
        </w:rPr>
        <w:t>4.</w:t>
      </w:r>
      <w:bookmarkEnd w:id="77"/>
      <w:r>
        <w:rPr>
          <w:rFonts w:hint="eastAsia" w:ascii="宋体" w:hAnsi="宋体" w:eastAsia="宋体" w:cs="宋体"/>
          <w:b/>
          <w:bCs/>
          <w:color w:val="auto"/>
          <w:kern w:val="0"/>
          <w:sz w:val="24"/>
          <w:szCs w:val="24"/>
          <w:highlight w:val="none"/>
        </w:rPr>
        <w:t>语言文字</w:t>
      </w:r>
    </w:p>
    <w:p w14:paraId="1FF76542">
      <w:pPr>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除专用术语外，与招标投标有关的语言均使用中文。专用术语应附有中文注释。</w:t>
      </w:r>
    </w:p>
    <w:p w14:paraId="6D87E878">
      <w:pPr>
        <w:spacing w:before="156" w:beforeLines="50" w:after="156" w:afterLines="5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w:t>
      </w:r>
    </w:p>
    <w:p w14:paraId="1AFB3C64">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5.招标文件的组成</w:t>
      </w:r>
    </w:p>
    <w:p w14:paraId="3E7FFB4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3EAD3D7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46F0EA0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（2）投标单位须知</w:t>
      </w:r>
    </w:p>
    <w:p w14:paraId="7326ED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74D6630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644EE8A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（5）服务要求</w:t>
      </w:r>
    </w:p>
    <w:p w14:paraId="1918D58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6B74AD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根据本须知对招标文件所作的澄清、修改，构成招标文件的组成部分。</w:t>
      </w:r>
    </w:p>
    <w:p w14:paraId="2F8C1161">
      <w:pPr>
        <w:spacing w:line="50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6.招标文件的补充、修改</w:t>
      </w:r>
    </w:p>
    <w:p w14:paraId="393A908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发出后，在提交投标文件截止时间15日前，采购人可以在电子交易系统中修改招标文件，并公示所有购买招标文件的投标单位。如果修改招标文件的时间距投标截止的时间不足15天，相应延长投标截止时间。</w:t>
      </w:r>
    </w:p>
    <w:p w14:paraId="20BD9733">
      <w:pPr>
        <w:spacing w:line="50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7.招标文件的澄清</w:t>
      </w:r>
    </w:p>
    <w:p w14:paraId="664405E3">
      <w:pPr>
        <w:widowControl/>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bookmarkStart w:id="78" w:name="OLE_LINK34"/>
      <w:bookmarkEnd w:id="78"/>
      <w:r>
        <w:rPr>
          <w:rFonts w:hint="eastAsia" w:ascii="宋体" w:hAnsi="宋体" w:eastAsia="宋体" w:cs="宋体"/>
          <w:color w:val="auto"/>
          <w:sz w:val="24"/>
          <w:szCs w:val="24"/>
          <w:highlight w:val="none"/>
        </w:rPr>
        <w:t>若有疑问，请于采购文件公告期限届满之日起七个工作日前在电子交易系统中提出，要求采购人对招标文件予以澄清。具体请按照平顶山市公共资源交易中心网上流程办理。</w:t>
      </w:r>
    </w:p>
    <w:p w14:paraId="2C214B4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7.2招标文件澄清将在电子交易系统中以答复并公示所有购买招标文件的投标单位。但不指明澄清问题的来源，请各投标单位及时关注。</w:t>
      </w:r>
    </w:p>
    <w:p w14:paraId="3BFEFF66">
      <w:pPr>
        <w:spacing w:before="156" w:beforeLines="50" w:after="156" w:afterLines="5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（三）投标文件</w:t>
      </w:r>
    </w:p>
    <w:p w14:paraId="6B0B7CA6">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8．投标文件的组成</w:t>
      </w:r>
    </w:p>
    <w:p w14:paraId="726AA31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详见投标文件格式。</w:t>
      </w:r>
    </w:p>
    <w:p w14:paraId="13802011">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9.投标文件的澄清</w:t>
      </w:r>
    </w:p>
    <w:p w14:paraId="78BE87F2">
      <w:pPr>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投标单位应仔细阅读和检查投标文件的全部内容。如发现缺页或附件不全，应在电子交易系统中提出。</w:t>
      </w:r>
    </w:p>
    <w:p w14:paraId="6F17D186">
      <w:pPr>
        <w:adjustRightInd w:val="0"/>
        <w:snapToGrid w:val="0"/>
        <w:spacing w:before="156" w:beforeLines="50" w:after="156" w:afterLines="50" w:line="500" w:lineRule="exact"/>
        <w:ind w:firstLine="354" w:firstLineChars="147"/>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10.投标文件的修改</w:t>
      </w:r>
    </w:p>
    <w:p w14:paraId="15966192">
      <w:pPr>
        <w:widowControl/>
        <w:spacing w:line="500" w:lineRule="exact"/>
        <w:ind w:firstLine="495"/>
        <w:jc w:val="left"/>
        <w:rPr>
          <w:rFonts w:hint="eastAsia" w:ascii="宋体" w:hAnsi="宋体" w:eastAsia="宋体" w:cs="宋体"/>
          <w:color w:val="auto"/>
          <w:kern w:val="0"/>
          <w:sz w:val="24"/>
          <w:szCs w:val="24"/>
          <w:highlight w:val="none"/>
        </w:rPr>
      </w:pPr>
      <w:bookmarkStart w:id="79" w:name="_Toc152042324"/>
      <w:bookmarkEnd w:id="79"/>
      <w:bookmarkStart w:id="80" w:name="_Toc152045548"/>
      <w:bookmarkEnd w:id="80"/>
      <w:bookmarkStart w:id="81" w:name="_Toc179632566"/>
      <w:bookmarkEnd w:id="81"/>
      <w:bookmarkStart w:id="82" w:name="_Toc292893113"/>
      <w:bookmarkEnd w:id="82"/>
      <w:bookmarkStart w:id="83" w:name="_Toc144974516"/>
      <w:r>
        <w:rPr>
          <w:rFonts w:hint="eastAsia" w:ascii="宋体" w:hAnsi="宋体" w:eastAsia="宋体" w:cs="宋体"/>
          <w:color w:val="auto"/>
          <w:kern w:val="0"/>
          <w:sz w:val="24"/>
          <w:szCs w:val="24"/>
          <w:highlight w:val="none"/>
        </w:rPr>
        <w:t>投标文件的修改内容作为投标文件的组成部分，具有约束作用。</w:t>
      </w:r>
      <w:bookmarkEnd w:id="83"/>
    </w:p>
    <w:p w14:paraId="5B93CA53">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11．投标报价</w:t>
      </w:r>
    </w:p>
    <w:p w14:paraId="2BD4F154">
      <w:pPr>
        <w:autoSpaceDE w:val="0"/>
        <w:autoSpaceDN w:val="0"/>
        <w:adjustRightInd w:val="0"/>
        <w:spacing w:line="5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11.1报价应包含本项目所有税项。</w:t>
      </w:r>
    </w:p>
    <w:p w14:paraId="5FA4BE6C">
      <w:pPr>
        <w:autoSpaceDE w:val="0"/>
        <w:autoSpaceDN w:val="0"/>
        <w:adjustRightInd w:val="0"/>
        <w:spacing w:line="5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所有招标文件中列出的及隐含的为完成合同所需要的一切责任和义务等费用都应在内，不再有报价以外的任何附加费用。未列入或者没有填写的项目费用视为已在相关项目的价格中。报价内容包括本次招标项目的所有成本、利润、运输费、保管费、税金、人员工资、食宿、交通、工具办公费、各种国家规定的保险费运输保险等直至交给采购人指定地点的全部费用。投标单位应结合本项目最高限价及自身情况自主报价。</w:t>
      </w:r>
    </w:p>
    <w:p w14:paraId="113E3095">
      <w:pPr>
        <w:autoSpaceDE w:val="0"/>
        <w:autoSpaceDN w:val="0"/>
        <w:adjustRightInd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w:t>
      </w:r>
      <w:r>
        <w:rPr>
          <w:rFonts w:hint="eastAsia" w:ascii="宋体" w:hAnsi="宋体" w:eastAsia="宋体" w:cs="宋体"/>
          <w:color w:val="auto"/>
          <w:sz w:val="24"/>
          <w:szCs w:val="24"/>
          <w:highlight w:val="none"/>
        </w:rPr>
        <w:t>如投标文件中的报价大写金额和小写金额不一致的，以大写金额为准；总价金额与单价金额不一致的，以单价金额为准，但单价金额小数点有明显错误的除外；对不同文字文本招标文件的解释发生异议的，以中文文本为准。</w:t>
      </w:r>
    </w:p>
    <w:p w14:paraId="5A718BDB">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11.4投标单位不得以低于成本的报价竞标，最低报价不作为中标的保证。</w:t>
      </w:r>
    </w:p>
    <w:p w14:paraId="5E484536">
      <w:pPr>
        <w:adjustRightInd w:val="0"/>
        <w:snapToGrid w:val="0"/>
        <w:spacing w:before="156" w:beforeLines="50" w:after="156" w:afterLines="50" w:line="50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12.投标有效期</w:t>
      </w:r>
    </w:p>
    <w:p w14:paraId="10D69A12">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12.1在投标单位须知前附表规定的投标有效期内，投标单位不得要求撤销或修改其投标文件。</w:t>
      </w:r>
    </w:p>
    <w:p w14:paraId="1A062E8D">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出现特殊情况需要延长投标有效期的，采购人以书面形式通知所有投标单位延长投标有效期。投标单位同意延长的，应相应延长其投标保证金(如有)的有效期，但不得要求或被允许修改或撤销其投标文件；投标单位拒绝延长的，其投标失效，但投标单位有权收回其投标保证金(如有)。在延长期内，本须知关于投标保证金(如有)的退还与没收的规定仍然适用。</w:t>
      </w:r>
    </w:p>
    <w:p w14:paraId="6E83DBFC">
      <w:pPr>
        <w:adjustRightInd w:val="0"/>
        <w:snapToGrid w:val="0"/>
        <w:spacing w:before="156" w:beforeLines="50" w:after="156" w:afterLines="50" w:line="500" w:lineRule="exact"/>
        <w:ind w:firstLine="354" w:firstLineChars="147"/>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13.投标保证金</w:t>
      </w:r>
    </w:p>
    <w:p w14:paraId="658DFA2F">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根据“河南省财政厅关于优化政府采购营商环境有关问题的通知”豫财购〔2019〕4 号文中“(六)降低投标人参与政府采购活动交易成本”的规定，该项目不再收取保证金。</w:t>
      </w:r>
      <w:r>
        <w:rPr>
          <w:rFonts w:hint="eastAsia" w:ascii="宋体" w:hAnsi="宋体" w:eastAsia="宋体" w:cs="宋体"/>
          <w:color w:val="auto"/>
          <w:sz w:val="24"/>
          <w:szCs w:val="24"/>
          <w:highlight w:val="none"/>
        </w:rPr>
        <w:t>投标人应提供投标承诺函。未提供投标承诺函的视为不响应招标文件。</w:t>
      </w:r>
    </w:p>
    <w:p w14:paraId="25B7A4AE">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应按照招标文件要求，在投标文件中提供投标承诺函，明确所应当履行的责任和义务，诚信履约，并自觉接受行政监管部门的监督管理。</w:t>
      </w:r>
    </w:p>
    <w:p w14:paraId="578FD59E">
      <w:pPr>
        <w:adjustRightInd w:val="0"/>
        <w:snapToGrid w:val="0"/>
        <w:spacing w:before="156" w:beforeLines="50" w:after="156" w:afterLines="50" w:line="500" w:lineRule="exact"/>
        <w:ind w:firstLine="354" w:firstLineChars="147"/>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14.资格审查资料</w:t>
      </w:r>
    </w:p>
    <w:p w14:paraId="3C007FFE">
      <w:pPr>
        <w:adjustRightInd w:val="0"/>
        <w:snapToGrid w:val="0"/>
        <w:spacing w:line="500" w:lineRule="exact"/>
        <w:ind w:firstLine="495"/>
        <w:jc w:val="left"/>
        <w:rPr>
          <w:rFonts w:hint="eastAsia" w:ascii="宋体" w:hAnsi="宋体" w:eastAsia="宋体" w:cs="宋体"/>
          <w:color w:val="auto"/>
          <w:kern w:val="0"/>
          <w:sz w:val="24"/>
          <w:szCs w:val="24"/>
          <w:highlight w:val="none"/>
        </w:rPr>
      </w:pPr>
      <w:bookmarkStart w:id="84" w:name="_Toc292893118"/>
      <w:bookmarkEnd w:id="84"/>
      <w:bookmarkStart w:id="85" w:name="_Toc144974522"/>
      <w:bookmarkEnd w:id="85"/>
      <w:bookmarkStart w:id="86" w:name="_Toc152045554"/>
      <w:bookmarkEnd w:id="86"/>
      <w:bookmarkStart w:id="87" w:name="_Toc152042330"/>
      <w:bookmarkEnd w:id="87"/>
      <w:bookmarkStart w:id="88" w:name="_Toc179632572"/>
      <w:r>
        <w:rPr>
          <w:rFonts w:hint="eastAsia" w:ascii="宋体" w:hAnsi="宋体" w:eastAsia="宋体" w:cs="宋体"/>
          <w:color w:val="auto"/>
          <w:kern w:val="0"/>
          <w:sz w:val="24"/>
          <w:szCs w:val="24"/>
          <w:highlight w:val="none"/>
        </w:rPr>
        <w:t>详见投标单位须知前附表“投标单位资格要求”，投标文件中相关复印件或扫描件并加盖公章。</w:t>
      </w:r>
      <w:bookmarkEnd w:id="88"/>
    </w:p>
    <w:p w14:paraId="324E9A4C">
      <w:pPr>
        <w:adjustRightInd w:val="0"/>
        <w:snapToGrid w:val="0"/>
        <w:spacing w:before="156" w:beforeLines="50" w:after="156" w:afterLines="50" w:line="500" w:lineRule="exact"/>
        <w:ind w:firstLine="354" w:firstLineChars="147"/>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15.投标文件的编制</w:t>
      </w:r>
    </w:p>
    <w:p w14:paraId="57B154D5">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15.1、投标人在生成电子化投标文件后，应对电子化投标文件进行签章，未进行签章的视为无效投标。</w:t>
      </w:r>
    </w:p>
    <w:p w14:paraId="4ABF2203">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788801B5">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16.投标文件的装订: </w:t>
      </w:r>
      <w:r>
        <w:rPr>
          <w:rFonts w:hint="eastAsia" w:ascii="宋体" w:hAnsi="宋体" w:eastAsia="宋体" w:cs="宋体"/>
          <w:color w:val="auto"/>
          <w:kern w:val="0"/>
          <w:sz w:val="24"/>
          <w:szCs w:val="24"/>
          <w:highlight w:val="none"/>
        </w:rPr>
        <w:t>/。</w:t>
      </w:r>
    </w:p>
    <w:p w14:paraId="7FCDE1CE">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17．投标文件格式</w:t>
      </w:r>
    </w:p>
    <w:p w14:paraId="1A97A644">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17.1第六章“投标文件格式”仅供参考，规定之外允许投标单位可以自行编写。</w:t>
      </w:r>
    </w:p>
    <w:p w14:paraId="79453635">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对于没有格式要求的投标文件由投标单位自行编写。</w:t>
      </w:r>
    </w:p>
    <w:p w14:paraId="21FA9F78">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18．投标有效期</w:t>
      </w:r>
    </w:p>
    <w:p w14:paraId="58374F99">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投标有效期见投标单位须知前附表。投标有效期短于此规定期限的投标，将被拒绝。</w:t>
      </w:r>
    </w:p>
    <w:p w14:paraId="3EBD1DE0">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18.2 特殊情况下，采购人可于投标有效期满之前要求投标单位同意延长有效期，要求与答复均应为书面形式。拒绝延长投标有效期的投标单位不得再参与该项目后续采购活动。同意延长投标有效期的投标单位不能修改其投标文件。</w:t>
      </w:r>
    </w:p>
    <w:p w14:paraId="553FD950">
      <w:pPr>
        <w:spacing w:before="156" w:beforeLines="50" w:after="156" w:afterLines="5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w:t>
      </w:r>
    </w:p>
    <w:p w14:paraId="6DE43E01">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19. 投标文件的密封和标注</w:t>
      </w:r>
    </w:p>
    <w:p w14:paraId="1DE5AD8A">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本项目为全电子投标,不涉及此项。</w:t>
      </w:r>
    </w:p>
    <w:p w14:paraId="565AEF59">
      <w:pPr>
        <w:adjustRightInd w:val="0"/>
        <w:snapToGrid w:val="0"/>
        <w:spacing w:before="156" w:beforeLines="50" w:after="156" w:afterLines="50" w:line="500" w:lineRule="exact"/>
        <w:ind w:firstLine="590" w:firstLineChars="245"/>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20．投标文件的递交</w:t>
      </w:r>
    </w:p>
    <w:p w14:paraId="011CA853">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60C4D458">
      <w:pPr>
        <w:widowControl/>
        <w:spacing w:line="500" w:lineRule="exact"/>
        <w:ind w:firstLine="495"/>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注：（1）投标人投报多个标段的，根据标段制作各个标段的投标文件后上传</w:t>
      </w:r>
      <w:r>
        <w:rPr>
          <w:rFonts w:hint="eastAsia" w:ascii="宋体" w:hAnsi="宋体" w:eastAsia="宋体" w:cs="宋体"/>
          <w:color w:val="auto"/>
          <w:kern w:val="0"/>
          <w:sz w:val="24"/>
          <w:szCs w:val="24"/>
          <w:highlight w:val="none"/>
          <w:lang w:eastAsia="zh-CN"/>
        </w:rPr>
        <w:t>。</w:t>
      </w:r>
    </w:p>
    <w:p w14:paraId="499EA679">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电子化投标文件应在投标截止时间前成功上传至平顶山市公共资源电子化交易系统。至投标截止时间止，仍未上传成功的电子化投标文件将不予接收。</w:t>
      </w:r>
    </w:p>
    <w:p w14:paraId="470CFF92">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E00A597">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21．投标文件的修改和撤回</w:t>
      </w:r>
    </w:p>
    <w:p w14:paraId="62DDDCD9">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21.1在本投标单位须知前附表规定的投标截止时间前，投标单位可以修改或撤回已递交的投标文件，但应以书面形式通知采购人。</w:t>
      </w:r>
    </w:p>
    <w:p w14:paraId="4E592E9E">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21.2投标单位修改或撤回已递交投标文件的书面通知应按照本须知要求签字或盖章。修改的内容为投标文件的组成部分。修改的投标文件应按照电子投标规定递交。</w:t>
      </w:r>
    </w:p>
    <w:p w14:paraId="1671740E">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21.3在投标截止日期之后，投标单位不得补充、修改投标文件。</w:t>
      </w:r>
    </w:p>
    <w:p w14:paraId="05DD8555">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21.4在投标截止时间至投标有效期满之前，投标单位不得撤回其投标文件。</w:t>
      </w:r>
    </w:p>
    <w:p w14:paraId="4227F6C5">
      <w:pPr>
        <w:spacing w:before="156" w:beforeLines="50" w:after="156" w:afterLines="50" w:line="500" w:lineRule="exact"/>
        <w:jc w:val="center"/>
        <w:rPr>
          <w:rFonts w:hint="eastAsia" w:ascii="宋体" w:hAnsi="宋体" w:eastAsia="宋体" w:cs="宋体"/>
          <w:b/>
          <w:bCs/>
          <w:color w:val="auto"/>
          <w:sz w:val="24"/>
          <w:szCs w:val="24"/>
          <w:highlight w:val="none"/>
        </w:rPr>
      </w:pPr>
      <w:bookmarkStart w:id="89" w:name="_Toc292893121"/>
      <w:bookmarkEnd w:id="89"/>
      <w:bookmarkStart w:id="90" w:name="_Toc144974527"/>
      <w:bookmarkEnd w:id="90"/>
      <w:bookmarkStart w:id="91" w:name="_Toc152045559"/>
      <w:bookmarkEnd w:id="91"/>
      <w:bookmarkStart w:id="92" w:name="_Toc179632577"/>
      <w:bookmarkEnd w:id="92"/>
      <w:bookmarkStart w:id="93" w:name="_Toc152042335"/>
      <w:r>
        <w:rPr>
          <w:rFonts w:hint="eastAsia" w:ascii="宋体" w:hAnsi="宋体" w:eastAsia="宋体" w:cs="宋体"/>
          <w:b/>
          <w:bCs/>
          <w:color w:val="auto"/>
          <w:sz w:val="24"/>
          <w:szCs w:val="24"/>
          <w:highlight w:val="none"/>
        </w:rPr>
        <w:t>（五）开标</w:t>
      </w:r>
      <w:bookmarkEnd w:id="93"/>
    </w:p>
    <w:p w14:paraId="3D45347C">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22．开标</w:t>
      </w:r>
    </w:p>
    <w:p w14:paraId="4F7286B2">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全流程电子化项目如遇到系统瘫痪、病毒、网络攻击等不可预见因素，造成短时间内无法正常恢复，该项目采用暂停、推迟等其他方式进行。</w:t>
      </w:r>
    </w:p>
    <w:p w14:paraId="13036A31">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1、电子化投标文件采用双重加密方式。开标时，首先由投标人使用CA证书，在规定时间内对其电子化投标文件进行首次解密，投标人解密完成后，再由中介服务机构使用CA证书对投标文件进行再次解密。</w:t>
      </w:r>
    </w:p>
    <w:p w14:paraId="7BB8C231">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2、电子化投标文件解密异常的处理</w:t>
      </w:r>
    </w:p>
    <w:p w14:paraId="3A31D59A">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如出现投标人的电子投标文件无法解密的情况，投标人应及时联系中介服务机构说明。投标文件解密异常，按以下步骤进行处理：</w:t>
      </w:r>
    </w:p>
    <w:p w14:paraId="01C528BC">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（1）首先由技术人员进行问题排查。</w:t>
      </w:r>
    </w:p>
    <w:p w14:paraId="4AD0A1DB">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（2）经技术人员排查后，是投标人文件自身问题导致投标文件无法解密的，该投标文件将不予接收、解密和唱标，开标会议继续进行。</w:t>
      </w:r>
    </w:p>
    <w:p w14:paraId="7F5F2F03">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2442E44">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3、待所有投标人投标文件解密完成后，由中介服务机构操作，对所有已解密投标文件进行唱标。</w:t>
      </w:r>
    </w:p>
    <w:p w14:paraId="10C8BB7F">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9DB7180">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5、如评标委员会对需要回复的投标人回复内容有异议的，经过几次回复仍不清楚的，需在监督下进行免提电话进行质疑。</w:t>
      </w:r>
    </w:p>
    <w:p w14:paraId="3461EE18">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6、评标时如因系统异常、停电、电脑病毒、网络堵塞等原因无法正常进行的，由技术人员排查解决，短时间无法解决的，经监督部门同意后，暂停评标活动，待问题解决后继续评标。</w:t>
      </w:r>
    </w:p>
    <w:p w14:paraId="71DB4B9B">
      <w:pPr>
        <w:spacing w:before="156" w:beforeLines="50" w:after="156" w:afterLines="5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（六）评标</w:t>
      </w:r>
    </w:p>
    <w:p w14:paraId="3FEF8E94">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 评标委员会</w:t>
      </w:r>
    </w:p>
    <w:p w14:paraId="4AB9BE3F">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23.1评标由依法组建的评标委员会负责，评标委员会组成详见前附表。评标委员会根据本项目招标文件的评定标办法独立完成评标工作</w:t>
      </w:r>
      <w:r>
        <w:rPr>
          <w:rFonts w:hint="eastAsia" w:ascii="宋体" w:hAnsi="宋体" w:eastAsia="宋体" w:cs="宋体"/>
          <w:color w:val="auto"/>
          <w:sz w:val="24"/>
          <w:szCs w:val="24"/>
          <w:highlight w:val="none"/>
        </w:rPr>
        <w:t>，任何人不得干预评委的正常评标工作。</w:t>
      </w:r>
    </w:p>
    <w:p w14:paraId="559017BA">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评标委员会成员有下列情形之一的，应当回避：</w:t>
      </w:r>
    </w:p>
    <w:p w14:paraId="1D439357">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（1）采购人或投标单位的主要负责人的近亲属；</w:t>
      </w:r>
    </w:p>
    <w:p w14:paraId="7DF483D1">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（2）项目主管部门或者行政监督部门的人员；</w:t>
      </w:r>
    </w:p>
    <w:p w14:paraId="150D7184">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（3）与投标单位有经济利益关系，可能影响对投标公正评审的；</w:t>
      </w:r>
    </w:p>
    <w:p w14:paraId="3B9719C5">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（4）曾因在招标、评标以及其他与招标投标有关活动中从事违法行为而受过行政处罚或刑事处罚的。</w:t>
      </w:r>
    </w:p>
    <w:p w14:paraId="40EB5D98">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23.3评标委员会及其成员不得有下列行为：</w:t>
      </w:r>
    </w:p>
    <w:p w14:paraId="3A1C8DF7">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（1）确定参与评标至评标结束前私自接触投标单位；</w:t>
      </w:r>
    </w:p>
    <w:p w14:paraId="64A765B3">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投标单位提出的与投标文件不一致的澄清或者说明（对于投标文件中含义不明确、同类问题表述不一致或者有明显文字和计算错误的内容，评标委员会以书面形式要求投标单位作出必要的澄清、说明或者补正的除外）。</w:t>
      </w:r>
    </w:p>
    <w:p w14:paraId="6E61A351">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（3）违反评标纪律发表倾向性意见或者征询采购人的倾向性意见；</w:t>
      </w:r>
    </w:p>
    <w:p w14:paraId="19D29589">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（4）对需要专业判断的主观评审因素协商评分；</w:t>
      </w:r>
    </w:p>
    <w:p w14:paraId="03C145B2">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（5）在评标过程中擅离职守，影响评标程序正常进行的；</w:t>
      </w:r>
    </w:p>
    <w:p w14:paraId="25C45023">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（6）记录、复制或者带走任何评标资料；</w:t>
      </w:r>
    </w:p>
    <w:p w14:paraId="425BBE03">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（7）其他不遵守评标纪律的行为。</w:t>
      </w:r>
    </w:p>
    <w:p w14:paraId="48823531">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bookmarkStart w:id="94" w:name="_Toc152042340"/>
      <w:bookmarkEnd w:id="94"/>
      <w:bookmarkStart w:id="95" w:name="_Toc179632582"/>
      <w:bookmarkEnd w:id="95"/>
      <w:bookmarkStart w:id="96" w:name="_Toc152045564"/>
      <w:bookmarkEnd w:id="96"/>
      <w:bookmarkStart w:id="97" w:name="_Toc292893126"/>
      <w:bookmarkEnd w:id="97"/>
      <w:bookmarkStart w:id="98" w:name="_Toc144974532"/>
      <w:bookmarkEnd w:id="98"/>
      <w:bookmarkStart w:id="99" w:name="_Toc217446060"/>
      <w:r>
        <w:rPr>
          <w:rFonts w:hint="eastAsia" w:ascii="宋体" w:hAnsi="宋体" w:eastAsia="宋体" w:cs="宋体"/>
          <w:b/>
          <w:bCs/>
          <w:color w:val="auto"/>
          <w:kern w:val="0"/>
          <w:sz w:val="24"/>
          <w:szCs w:val="24"/>
          <w:highlight w:val="none"/>
        </w:rPr>
        <w:t>24</w:t>
      </w:r>
      <w:bookmarkEnd w:id="99"/>
      <w:r>
        <w:rPr>
          <w:rFonts w:hint="eastAsia" w:ascii="宋体" w:hAnsi="宋体" w:eastAsia="宋体" w:cs="宋体"/>
          <w:b/>
          <w:bCs/>
          <w:color w:val="auto"/>
          <w:kern w:val="0"/>
          <w:sz w:val="24"/>
          <w:szCs w:val="24"/>
          <w:highlight w:val="none"/>
        </w:rPr>
        <w:t>．评标原则</w:t>
      </w:r>
      <w:r>
        <w:rPr>
          <w:rFonts w:hint="eastAsia" w:ascii="宋体" w:hAnsi="宋体" w:eastAsia="宋体" w:cs="宋体"/>
          <w:b/>
          <w:bCs/>
          <w:color w:val="auto"/>
          <w:kern w:val="0"/>
          <w:sz w:val="24"/>
          <w:szCs w:val="24"/>
          <w:highlight w:val="none"/>
        </w:rPr>
        <w:tab/>
      </w:r>
    </w:p>
    <w:p w14:paraId="1E196D9E">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17EBE253">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bookmarkStart w:id="100" w:name="_Toc292893127"/>
      <w:bookmarkEnd w:id="100"/>
      <w:bookmarkStart w:id="101" w:name="_Toc144974533"/>
      <w:bookmarkEnd w:id="101"/>
      <w:bookmarkStart w:id="102" w:name="_Toc152045565"/>
      <w:bookmarkEnd w:id="102"/>
      <w:bookmarkStart w:id="103" w:name="_Toc179632583"/>
      <w:bookmarkEnd w:id="103"/>
      <w:bookmarkStart w:id="104" w:name="_Toc152042341"/>
      <w:r>
        <w:rPr>
          <w:rFonts w:hint="eastAsia" w:ascii="宋体" w:hAnsi="宋体" w:eastAsia="宋体" w:cs="宋体"/>
          <w:b/>
          <w:bCs/>
          <w:color w:val="auto"/>
          <w:kern w:val="0"/>
          <w:sz w:val="24"/>
          <w:szCs w:val="24"/>
          <w:highlight w:val="none"/>
        </w:rPr>
        <w:t>25.评标</w:t>
      </w:r>
      <w:bookmarkEnd w:id="104"/>
    </w:p>
    <w:p w14:paraId="5DB949AC">
      <w:pPr>
        <w:autoSpaceDE w:val="0"/>
        <w:autoSpaceDN w:val="0"/>
        <w:adjustRightInd w:val="0"/>
        <w:spacing w:line="500" w:lineRule="exact"/>
        <w:ind w:left="100" w:right="40"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评标委员会按照第三章“评标办法”规定的方法、评审因素、标准和程序对投标文件进行评审。第三章“评标办法”没有规定的方法、评审因素和标准，不作为评标依据。</w:t>
      </w:r>
    </w:p>
    <w:p w14:paraId="66887612">
      <w:pPr>
        <w:spacing w:before="156" w:beforeLines="50" w:after="156" w:afterLines="50"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（七）合同授予</w:t>
      </w:r>
    </w:p>
    <w:p w14:paraId="7E426076">
      <w:pPr>
        <w:adjustRightInd w:val="0"/>
        <w:snapToGrid w:val="0"/>
        <w:spacing w:before="156" w:beforeLines="50" w:after="156" w:afterLines="50" w:line="500" w:lineRule="exact"/>
        <w:ind w:firstLine="590" w:firstLineChars="245"/>
        <w:jc w:val="left"/>
        <w:rPr>
          <w:rFonts w:hint="eastAsia" w:ascii="宋体" w:hAnsi="宋体" w:eastAsia="宋体" w:cs="宋体"/>
          <w:b/>
          <w:bCs/>
          <w:color w:val="auto"/>
          <w:kern w:val="0"/>
          <w:sz w:val="24"/>
          <w:szCs w:val="24"/>
          <w:highlight w:val="none"/>
        </w:rPr>
      </w:pPr>
      <w:bookmarkStart w:id="105" w:name="_Toc179632584"/>
      <w:bookmarkEnd w:id="105"/>
      <w:bookmarkStart w:id="106" w:name="_Toc292893128"/>
      <w:bookmarkEnd w:id="106"/>
      <w:bookmarkStart w:id="107" w:name="_Toc152045566"/>
      <w:bookmarkEnd w:id="107"/>
      <w:bookmarkStart w:id="108" w:name="_Toc144974534"/>
      <w:bookmarkEnd w:id="108"/>
      <w:bookmarkStart w:id="109" w:name="_Toc152042342"/>
      <w:r>
        <w:rPr>
          <w:rFonts w:hint="eastAsia" w:ascii="宋体" w:hAnsi="宋体" w:eastAsia="宋体" w:cs="宋体"/>
          <w:b/>
          <w:bCs/>
          <w:color w:val="auto"/>
          <w:kern w:val="0"/>
          <w:sz w:val="24"/>
          <w:szCs w:val="24"/>
          <w:highlight w:val="none"/>
        </w:rPr>
        <w:t>26</w:t>
      </w:r>
      <w:bookmarkEnd w:id="109"/>
      <w:r>
        <w:rPr>
          <w:rFonts w:hint="eastAsia" w:ascii="宋体" w:hAnsi="宋体" w:eastAsia="宋体" w:cs="宋体"/>
          <w:b/>
          <w:bCs/>
          <w:color w:val="auto"/>
          <w:kern w:val="0"/>
          <w:sz w:val="24"/>
          <w:szCs w:val="24"/>
          <w:highlight w:val="none"/>
        </w:rPr>
        <w:t>.合同授予</w:t>
      </w:r>
    </w:p>
    <w:p w14:paraId="61C0C39E">
      <w:pPr>
        <w:widowControl/>
        <w:spacing w:line="500" w:lineRule="exact"/>
        <w:ind w:firstLine="495"/>
        <w:jc w:val="left"/>
        <w:rPr>
          <w:rFonts w:hint="eastAsia" w:ascii="宋体" w:hAnsi="宋体" w:eastAsia="宋体" w:cs="宋体"/>
          <w:color w:val="auto"/>
          <w:kern w:val="0"/>
          <w:sz w:val="24"/>
          <w:szCs w:val="24"/>
          <w:highlight w:val="none"/>
        </w:rPr>
      </w:pPr>
      <w:bookmarkStart w:id="110" w:name="_Toc152042343"/>
      <w:bookmarkEnd w:id="110"/>
      <w:bookmarkStart w:id="111" w:name="_Toc144974535"/>
      <w:bookmarkEnd w:id="111"/>
      <w:bookmarkStart w:id="112" w:name="_Toc179632585"/>
      <w:bookmarkEnd w:id="112"/>
      <w:bookmarkStart w:id="113" w:name="_Toc292893129"/>
      <w:bookmarkEnd w:id="113"/>
      <w:bookmarkStart w:id="114" w:name="_Toc152045567"/>
      <w:r>
        <w:rPr>
          <w:rFonts w:hint="eastAsia" w:ascii="宋体" w:hAnsi="宋体" w:eastAsia="宋体" w:cs="宋体"/>
          <w:color w:val="auto"/>
          <w:kern w:val="0"/>
          <w:sz w:val="24"/>
          <w:szCs w:val="24"/>
          <w:highlight w:val="none"/>
        </w:rPr>
        <w:t>26</w:t>
      </w:r>
      <w:bookmarkEnd w:id="114"/>
      <w:r>
        <w:rPr>
          <w:rFonts w:hint="eastAsia" w:ascii="宋体" w:hAnsi="宋体" w:eastAsia="宋体" w:cs="宋体"/>
          <w:color w:val="auto"/>
          <w:kern w:val="0"/>
          <w:sz w:val="24"/>
          <w:szCs w:val="24"/>
          <w:highlight w:val="none"/>
        </w:rPr>
        <w:t>.1 定标方式：采购人据评标委员会推荐的中标候选投标人确定中标人。</w:t>
      </w:r>
    </w:p>
    <w:p w14:paraId="79EC79DB">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 招标方在授予合同时有权根据具体情况对招标文件规定的服务数量和服务予以增加或减少,但不得对单价或其它的条款做任何改变</w:t>
      </w:r>
      <w:bookmarkStart w:id="115" w:name="_Toc179632586"/>
      <w:bookmarkEnd w:id="115"/>
      <w:bookmarkStart w:id="116" w:name="_Toc292893130"/>
      <w:bookmarkEnd w:id="116"/>
      <w:bookmarkStart w:id="117" w:name="_Toc152042344"/>
      <w:bookmarkEnd w:id="117"/>
      <w:bookmarkStart w:id="118" w:name="_Toc152045568"/>
      <w:bookmarkEnd w:id="118"/>
      <w:bookmarkStart w:id="119" w:name="_Toc144974536"/>
      <w:r>
        <w:rPr>
          <w:rFonts w:hint="eastAsia" w:ascii="宋体" w:hAnsi="宋体" w:eastAsia="宋体" w:cs="宋体"/>
          <w:color w:val="auto"/>
          <w:kern w:val="0"/>
          <w:sz w:val="24"/>
          <w:szCs w:val="24"/>
          <w:highlight w:val="none"/>
        </w:rPr>
        <w:t>。</w:t>
      </w:r>
      <w:bookmarkEnd w:id="119"/>
    </w:p>
    <w:p w14:paraId="500B0776">
      <w:pPr>
        <w:spacing w:line="500" w:lineRule="exact"/>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 中标通知：在规定的投标有效期内，采购人以书面形式向中标投标人发出中标通知书，同时将中标结果通知未中标的投标人。中标投标人在收到通知书后24小时内，应予以书面确认。中标通知书将成为合同的组成部分。</w:t>
      </w:r>
    </w:p>
    <w:p w14:paraId="3BCBC93F">
      <w:pPr>
        <w:adjustRightInd w:val="0"/>
        <w:snapToGrid w:val="0"/>
        <w:spacing w:before="156" w:beforeLines="50" w:after="156" w:afterLines="50" w:line="500" w:lineRule="exact"/>
        <w:ind w:firstLine="472" w:firstLineChars="196"/>
        <w:jc w:val="left"/>
        <w:rPr>
          <w:rFonts w:hint="eastAsia" w:ascii="宋体" w:hAnsi="宋体" w:eastAsia="宋体" w:cs="宋体"/>
          <w:b/>
          <w:bCs/>
          <w:color w:val="auto"/>
          <w:kern w:val="0"/>
          <w:sz w:val="24"/>
          <w:szCs w:val="24"/>
          <w:highlight w:val="none"/>
        </w:rPr>
      </w:pPr>
      <w:bookmarkStart w:id="120" w:name="_Toc292893131"/>
      <w:bookmarkEnd w:id="120"/>
      <w:bookmarkStart w:id="121" w:name="_Toc152045570"/>
      <w:bookmarkEnd w:id="121"/>
      <w:bookmarkStart w:id="122" w:name="_Toc144974538"/>
      <w:bookmarkEnd w:id="122"/>
      <w:bookmarkStart w:id="123" w:name="_Toc179632588"/>
      <w:bookmarkEnd w:id="123"/>
      <w:bookmarkStart w:id="124" w:name="_Toc152042346"/>
      <w:r>
        <w:rPr>
          <w:rFonts w:hint="eastAsia" w:ascii="宋体" w:hAnsi="宋体" w:eastAsia="宋体" w:cs="宋体"/>
          <w:b/>
          <w:bCs/>
          <w:color w:val="auto"/>
          <w:kern w:val="0"/>
          <w:sz w:val="24"/>
          <w:szCs w:val="24"/>
          <w:highlight w:val="none"/>
        </w:rPr>
        <w:t>27．签订合同</w:t>
      </w:r>
      <w:bookmarkEnd w:id="124"/>
    </w:p>
    <w:p w14:paraId="3E23C5A1">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采购人和中标投标人应当自中标通知书发出之日起30天内，根据招标文件和中标投标人的投标文件订立书面合同。中标投标人无正当理由拒签合同的，采购人取消其中标资格，给采购人造成的损失的，中标投标人还应当予以赔偿，同时依法承担相应法律责任。</w:t>
      </w:r>
    </w:p>
    <w:p w14:paraId="45297CB6">
      <w:pPr>
        <w:adjustRightInd w:val="0"/>
        <w:snapToGrid w:val="0"/>
        <w:spacing w:before="156" w:beforeLines="50" w:after="156" w:afterLines="50" w:line="500" w:lineRule="exact"/>
        <w:ind w:firstLine="482" w:firstLineChars="200"/>
        <w:jc w:val="left"/>
        <w:rPr>
          <w:rFonts w:hint="eastAsia" w:ascii="宋体" w:hAnsi="宋体" w:eastAsia="宋体" w:cs="宋体"/>
          <w:b/>
          <w:bCs/>
          <w:color w:val="auto"/>
          <w:kern w:val="0"/>
          <w:sz w:val="24"/>
          <w:szCs w:val="24"/>
          <w:highlight w:val="none"/>
        </w:rPr>
      </w:pPr>
      <w:bookmarkStart w:id="125" w:name="_Toc292893132"/>
      <w:bookmarkEnd w:id="125"/>
      <w:r>
        <w:rPr>
          <w:rFonts w:hint="eastAsia" w:ascii="宋体" w:hAnsi="宋体" w:eastAsia="宋体" w:cs="宋体"/>
          <w:b/>
          <w:bCs/>
          <w:color w:val="auto"/>
          <w:kern w:val="0"/>
          <w:sz w:val="24"/>
          <w:szCs w:val="24"/>
          <w:highlight w:val="none"/>
        </w:rPr>
        <w:t>28.招标代理服务费</w:t>
      </w:r>
    </w:p>
    <w:p w14:paraId="3DA0C515">
      <w:pPr>
        <w:adjustRightInd w:val="0"/>
        <w:snapToGrid w:val="0"/>
        <w:spacing w:before="156" w:beforeLines="50" w:after="156" w:afterLines="50" w:line="500" w:lineRule="exact"/>
        <w:ind w:firstLine="480" w:firstLineChars="200"/>
        <w:jc w:val="left"/>
        <w:rPr>
          <w:rFonts w:hint="eastAsia" w:ascii="宋体" w:hAnsi="宋体" w:eastAsia="宋体" w:cs="宋体"/>
          <w:color w:val="auto"/>
          <w:sz w:val="24"/>
          <w:highlight w:val="none"/>
        </w:rPr>
      </w:pPr>
      <w:bookmarkStart w:id="126" w:name="_Toc152042350"/>
      <w:bookmarkEnd w:id="126"/>
      <w:bookmarkStart w:id="127" w:name="_Toc292893133"/>
      <w:bookmarkEnd w:id="127"/>
      <w:bookmarkStart w:id="128" w:name="_Toc179632592"/>
      <w:bookmarkEnd w:id="128"/>
      <w:bookmarkStart w:id="129" w:name="_Toc152045574"/>
      <w:bookmarkEnd w:id="129"/>
      <w:r>
        <w:rPr>
          <w:rFonts w:hint="eastAsia" w:ascii="宋体" w:hAnsi="宋体" w:eastAsia="宋体" w:cs="宋体"/>
          <w:color w:val="auto"/>
          <w:sz w:val="24"/>
          <w:highlight w:val="none"/>
        </w:rPr>
        <w:t>招标代理服务费依据 “豫招协[2023]002号”文件收取，代理服务费不足一万元按一万元记取,由中标人支付，在中标人领取中标通知书时以现金或转账方式向招标代理机构缴纳。此费用由投标人综合考虑到投标报价中，不再单独列项。</w:t>
      </w:r>
    </w:p>
    <w:p w14:paraId="67138B05">
      <w:pPr>
        <w:adjustRightInd w:val="0"/>
        <w:snapToGrid w:val="0"/>
        <w:spacing w:before="156" w:beforeLines="50" w:after="156" w:afterLines="50" w:line="50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29.纪律和监督</w:t>
      </w:r>
    </w:p>
    <w:p w14:paraId="205EB442">
      <w:pPr>
        <w:widowControl/>
        <w:spacing w:line="500" w:lineRule="exact"/>
        <w:ind w:firstLine="495"/>
        <w:jc w:val="left"/>
        <w:rPr>
          <w:rFonts w:hint="eastAsia" w:ascii="宋体" w:hAnsi="宋体" w:eastAsia="宋体" w:cs="宋体"/>
          <w:color w:val="auto"/>
          <w:kern w:val="0"/>
          <w:sz w:val="24"/>
          <w:szCs w:val="24"/>
          <w:highlight w:val="none"/>
        </w:rPr>
      </w:pPr>
      <w:bookmarkStart w:id="130" w:name="_Toc179632593"/>
      <w:bookmarkEnd w:id="130"/>
      <w:bookmarkStart w:id="131" w:name="_Toc152045575"/>
      <w:bookmarkEnd w:id="131"/>
      <w:bookmarkStart w:id="132" w:name="_Toc152042351"/>
      <w:bookmarkEnd w:id="132"/>
      <w:bookmarkStart w:id="133" w:name="_Toc292893134"/>
      <w:bookmarkEnd w:id="133"/>
      <w:r>
        <w:rPr>
          <w:rFonts w:hint="eastAsia" w:ascii="宋体" w:hAnsi="宋体" w:eastAsia="宋体" w:cs="宋体"/>
          <w:color w:val="auto"/>
          <w:kern w:val="0"/>
          <w:sz w:val="24"/>
          <w:szCs w:val="24"/>
          <w:highlight w:val="none"/>
        </w:rPr>
        <w:t>29.1对采购人的纪律要求：采购人不得泄漏招标投标活动中应当保密的情况和资料，不得与投标人串通损害国家利益、社会公共利益或者他人合法权益。</w:t>
      </w:r>
    </w:p>
    <w:p w14:paraId="2CEEB874">
      <w:pPr>
        <w:widowControl/>
        <w:spacing w:line="500" w:lineRule="exact"/>
        <w:ind w:firstLine="495"/>
        <w:jc w:val="left"/>
        <w:rPr>
          <w:rFonts w:hint="eastAsia" w:ascii="宋体" w:hAnsi="宋体" w:eastAsia="宋体" w:cs="宋体"/>
          <w:color w:val="auto"/>
          <w:kern w:val="0"/>
          <w:sz w:val="24"/>
          <w:szCs w:val="24"/>
          <w:highlight w:val="none"/>
        </w:rPr>
      </w:pPr>
      <w:bookmarkStart w:id="134" w:name="_Toc144974544"/>
      <w:bookmarkEnd w:id="134"/>
      <w:bookmarkStart w:id="135" w:name="_Toc179632594"/>
      <w:bookmarkEnd w:id="135"/>
      <w:bookmarkStart w:id="136" w:name="_Toc292893135"/>
      <w:bookmarkEnd w:id="136"/>
      <w:bookmarkStart w:id="137" w:name="_Toc152045576"/>
      <w:bookmarkEnd w:id="137"/>
      <w:r>
        <w:rPr>
          <w:rFonts w:hint="eastAsia" w:ascii="宋体" w:hAnsi="宋体" w:eastAsia="宋体" w:cs="宋体"/>
          <w:color w:val="auto"/>
          <w:kern w:val="0"/>
          <w:sz w:val="24"/>
          <w:szCs w:val="24"/>
          <w:highlight w:val="none"/>
        </w:rPr>
        <w:t>29.2 对投标人的纪律要求：投标人不得相互串通投标或者与采购人串通投标，不得向采购人或者评标委员会成员行贿谋取中标，不得以他人名义投标或者以其他方式弄虚作假骗取中标；投标人不得以任何方式干扰、影响评标工作。如发现投标人有上述不正当行为，将取消其投标资格或中标资格。</w:t>
      </w:r>
      <w:bookmarkStart w:id="138" w:name="_Toc292893136"/>
      <w:bookmarkEnd w:id="138"/>
      <w:bookmarkStart w:id="139" w:name="_Toc144974545"/>
      <w:bookmarkEnd w:id="139"/>
      <w:bookmarkStart w:id="140" w:name="_Toc152042353"/>
      <w:bookmarkEnd w:id="140"/>
      <w:bookmarkStart w:id="141" w:name="_Toc179632595"/>
      <w:bookmarkEnd w:id="141"/>
      <w:bookmarkStart w:id="142" w:name="_Toc152045577"/>
      <w:bookmarkEnd w:id="142"/>
    </w:p>
    <w:p w14:paraId="580F1DDE">
      <w:pPr>
        <w:widowControl/>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 对评标委员会成员的纪律要求：评标委员会成员不得收受他人的财物或者其他好处，不得向他人透漏对投标文件的评审和比较、中标候选投标人的推荐情况以及评标有关的其他情况。在评标活动中，评标委员会成员不得擅离职守，影响评标程序正常进行，不得使用评标办法没有规定的评审因素和标准进行评标。</w:t>
      </w:r>
    </w:p>
    <w:p w14:paraId="48DC3529">
      <w:pPr>
        <w:widowControl/>
        <w:spacing w:line="500" w:lineRule="exact"/>
        <w:ind w:firstLine="495"/>
        <w:jc w:val="left"/>
        <w:rPr>
          <w:rFonts w:hint="eastAsia" w:ascii="宋体" w:hAnsi="宋体" w:eastAsia="宋体" w:cs="宋体"/>
          <w:color w:val="auto"/>
          <w:kern w:val="0"/>
          <w:sz w:val="24"/>
          <w:szCs w:val="24"/>
          <w:highlight w:val="none"/>
        </w:rPr>
      </w:pPr>
      <w:bookmarkStart w:id="143" w:name="_Toc292893137"/>
      <w:bookmarkEnd w:id="143"/>
      <w:bookmarkStart w:id="144" w:name="_Toc152042354"/>
      <w:bookmarkEnd w:id="144"/>
      <w:bookmarkStart w:id="145" w:name="_Toc179632596"/>
      <w:bookmarkEnd w:id="145"/>
      <w:bookmarkStart w:id="146" w:name="_Toc144974546"/>
      <w:bookmarkEnd w:id="146"/>
      <w:r>
        <w:rPr>
          <w:rFonts w:hint="eastAsia" w:ascii="宋体" w:hAnsi="宋体" w:eastAsia="宋体" w:cs="宋体"/>
          <w:color w:val="auto"/>
          <w:kern w:val="0"/>
          <w:sz w:val="24"/>
          <w:szCs w:val="24"/>
          <w:highlight w:val="none"/>
        </w:rPr>
        <w:t>29.4 对与评标活动有关的工作人员的纪律要求</w:t>
      </w:r>
      <w:bookmarkStart w:id="147" w:name="_Toc152042355"/>
      <w:bookmarkEnd w:id="147"/>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投标人的推荐情况以及评标有关的其他情况。在评标活动中，与评标活动有关的工作人员不得擅离职守，影响评标程序正常进行。</w:t>
      </w:r>
    </w:p>
    <w:p w14:paraId="39F4ADF3">
      <w:pPr>
        <w:adjustRightInd w:val="0"/>
        <w:snapToGrid w:val="0"/>
        <w:spacing w:before="156" w:beforeLines="50" w:after="156" w:afterLines="50" w:line="50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30.关于公平竞争的通知</w:t>
      </w:r>
    </w:p>
    <w:p w14:paraId="20512B13">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关于河南省财政厅关于防范供应商串通投标促进政府采购公平竞争的通知，参与同一个标段（包）的供应商存在下列情形之一的，其投标（响应）文件无效：</w:t>
      </w:r>
    </w:p>
    <w:p w14:paraId="279C74C8">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（一）不同供应商的电子投标（响应）文件上传计算机的网卡MAC地址、CPU序列号和硬盘序列号等硬件信息相同的；</w:t>
      </w:r>
    </w:p>
    <w:p w14:paraId="10AB3374">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（二）不同供应商的投标（响应）文件由同一电子设备编制、打印加密或者上传；</w:t>
      </w:r>
    </w:p>
    <w:p w14:paraId="37A614B8">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（三）不同供应商的投标（响应）文件由同一电子设备打印、复印；</w:t>
      </w:r>
    </w:p>
    <w:p w14:paraId="147BD406">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（四）不同供应商的投标（响应）文件由同一人送达或者分发，或者不同供应商联系人为同一人或不同联系人的联系电话一致的；</w:t>
      </w:r>
    </w:p>
    <w:p w14:paraId="2F1D91B4">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（五）不同供应商的投标（响应）文件的内容存在两处以上细节错误一致；</w:t>
      </w:r>
    </w:p>
    <w:p w14:paraId="27185313">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（六）不同供应商的法定代表人、委托代理人、项目经理、项目负责人等由同一个单位缴纳社会保险或者领取报酬的；</w:t>
      </w:r>
    </w:p>
    <w:p w14:paraId="4CC2D6C4">
      <w:pPr>
        <w:snapToGrid w:val="0"/>
        <w:spacing w:line="480" w:lineRule="exact"/>
        <w:ind w:firstLine="57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（七）不同供应商投标（响应）文件中法定代表人或者负责人签字出自同一人之手；</w:t>
      </w:r>
    </w:p>
    <w:p w14:paraId="4CF7A1D1">
      <w:pPr>
        <w:snapToGrid w:val="0"/>
        <w:spacing w:line="480" w:lineRule="exact"/>
        <w:ind w:firstLine="573"/>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highlight w:val="none"/>
        </w:rPr>
        <w:t>（八）其它涉嫌串通的情形。</w:t>
      </w:r>
    </w:p>
    <w:p w14:paraId="14ACA4D8">
      <w:pPr>
        <w:adjustRightInd w:val="0"/>
        <w:snapToGrid w:val="0"/>
        <w:spacing w:before="156" w:beforeLines="50" w:after="156" w:afterLines="50" w:line="50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31.需要补充的其他内容</w:t>
      </w:r>
    </w:p>
    <w:p w14:paraId="18AB57FA">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交易项目投标文件是投标人、投标人（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14:paraId="23250278">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一、电子化投标</w:t>
      </w:r>
    </w:p>
    <w:p w14:paraId="3B233E5B">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（一）网上投标保证金的缴纳（本项目不适用）</w:t>
      </w:r>
    </w:p>
    <w:p w14:paraId="4648E3EB">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1、递交形式: 投标人的投标保证金必须通过投标人基本账户以转账或电汇的形式缴纳（账户必须是已加入平顶山市公共资源交易投标人或投标人诚信库中的账户）。</w:t>
      </w:r>
    </w:p>
    <w:p w14:paraId="33C8AB2E">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2536F692">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3、投标人在成功绑定后，可以将系统生成的回执单图片制作在投标文件中，作为缴纳保证金的依据。</w:t>
      </w:r>
    </w:p>
    <w:p w14:paraId="47AD31B2">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4、投标人应仔细阅读操作手册并充分考虑异地跨行转账到账时间等因素，因投标人操作不当或银行到账时间等问题造成保证金无法正常绑定影响投标的，由投标人自行承担后果。</w:t>
      </w:r>
    </w:p>
    <w:p w14:paraId="596D50CD">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5、未中标投标人的投标保证金在项目结束后，由中介服务机构向中心项目负责人提出退款申请，项目负责人同意并经财务部门核对后，通过中心交易平台退还给投标人。</w:t>
      </w:r>
    </w:p>
    <w:p w14:paraId="5906B98C">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（二）电子化投标文件的签章</w:t>
      </w:r>
    </w:p>
    <w:p w14:paraId="500BAFCE">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1、投标人在生成电子化投标文件后，应对电子化投标文件进行签章，未进行签章的视为无效投标。</w:t>
      </w:r>
    </w:p>
    <w:p w14:paraId="59FDA82D">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4DA32BDD">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（三）电子化投标文件的格式及上传投标</w:t>
      </w:r>
    </w:p>
    <w:p w14:paraId="054718E5">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290114F8">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注：（1）投标人投报多个标段的，根据标段制作各个标段的投标文件后上传</w:t>
      </w:r>
    </w:p>
    <w:p w14:paraId="5E98B4A8">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2、电子化投标文件应在投标截止时间前成功上传至平顶山市公共资源电子化交易系统。至投标截止时间止，仍未上传成功的电子化投标文件将不予接收。</w:t>
      </w:r>
    </w:p>
    <w:p w14:paraId="57316294">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A3C8FF8">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（四）电子化项目开标、解密、唱标、评标</w:t>
      </w:r>
    </w:p>
    <w:p w14:paraId="441B602F">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全流程电子化项目如遇到系统瘫痪、病毒、网络攻击等不可预见因素，造成短时间内无法正常恢复，该项目采用暂停、推迟等其他方式进行。</w:t>
      </w:r>
    </w:p>
    <w:p w14:paraId="4A11CAB2">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1、电子化投标文件采用双重加密方式。开标时，首先由投标人使用CA证书，在规定时间内对其电子化投标文件进行首次解密，投标人解密完成后，再由中介服务机构使用CA证书对投标文件进行再次解密。</w:t>
      </w:r>
    </w:p>
    <w:p w14:paraId="5C2F78D1">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2、电子化投标文件解密异常的处理</w:t>
      </w:r>
    </w:p>
    <w:p w14:paraId="1EF8769A">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如出现投标人的电子投标文件无法解密的情况，投标人应及时联系中介服务机构说明。投标文件解密异常，按以下步骤进行处理：</w:t>
      </w:r>
    </w:p>
    <w:p w14:paraId="37F035D3">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（1）首先由技术人员进行问题排查。</w:t>
      </w:r>
    </w:p>
    <w:p w14:paraId="1A2B67E7">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（2）经技术人员排查后，是投标人文件自身问题导致投标文件无法解密的，该投标文件将不予接收、解密和唱标，开标会议继续进行。</w:t>
      </w:r>
    </w:p>
    <w:p w14:paraId="74D04912">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54B773F">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3、待所有投标人投标文件解密完成后，由中介服务机构操作，对所有已解密投标文件进行唱标。</w:t>
      </w:r>
    </w:p>
    <w:p w14:paraId="52D38C4C">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1F2B4E89">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5、如评标委员会对需要回复的投标人回复内容有异议的，经过几次回复仍不清楚的，需在监督下进行免提电话进行质疑。</w:t>
      </w:r>
    </w:p>
    <w:p w14:paraId="741FCF74">
      <w:pPr>
        <w:adjustRightInd w:val="0"/>
        <w:snapToGrid w:val="0"/>
        <w:spacing w:line="500" w:lineRule="exact"/>
        <w:ind w:firstLine="49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6、评标时如因系统异常、停电、电脑病毒、网络堵塞等原因无法正常进行的，由技术人员排查解决，短时间无法解决的，经监督部门同意后，暂停评标活动，待问题解决后继续评标。</w:t>
      </w:r>
    </w:p>
    <w:p w14:paraId="4C061084">
      <w:pPr>
        <w:pStyle w:val="13"/>
        <w:ind w:firstLine="240"/>
        <w:rPr>
          <w:rFonts w:hint="eastAsia" w:ascii="宋体" w:hAnsi="宋体" w:eastAsia="宋体" w:cs="宋体"/>
          <w:color w:val="auto"/>
          <w:highlight w:val="none"/>
        </w:rPr>
      </w:pPr>
    </w:p>
    <w:p w14:paraId="76A49656">
      <w:pPr>
        <w:pStyle w:val="4"/>
        <w:numPr>
          <w:ilvl w:val="0"/>
          <w:numId w:val="1"/>
        </w:numPr>
        <w:spacing w:before="100" w:after="100" w:line="440" w:lineRule="exact"/>
        <w:jc w:val="center"/>
        <w:rPr>
          <w:rFonts w:hint="eastAsia" w:ascii="宋体" w:hAnsi="宋体" w:eastAsia="宋体" w:cs="宋体"/>
          <w:color w:val="auto"/>
          <w:sz w:val="36"/>
          <w:szCs w:val="36"/>
          <w:highlight w:val="none"/>
        </w:rPr>
      </w:pPr>
      <w:bookmarkStart w:id="148" w:name="_Toc511204033"/>
      <w:bookmarkEnd w:id="148"/>
      <w:bookmarkStart w:id="149" w:name="_Toc24022"/>
      <w:bookmarkStart w:id="150" w:name="_Toc6929018"/>
      <w:bookmarkStart w:id="151" w:name="_Toc142476146"/>
      <w:r>
        <w:rPr>
          <w:rFonts w:hint="eastAsia" w:ascii="宋体" w:hAnsi="宋体" w:eastAsia="宋体" w:cs="宋体"/>
          <w:color w:val="auto"/>
          <w:sz w:val="36"/>
          <w:szCs w:val="36"/>
          <w:highlight w:val="none"/>
        </w:rPr>
        <w:t>评标办法</w:t>
      </w:r>
      <w:bookmarkEnd w:id="149"/>
      <w:bookmarkEnd w:id="150"/>
      <w:bookmarkEnd w:id="151"/>
    </w:p>
    <w:p w14:paraId="14F8E0FF">
      <w:pPr>
        <w:spacing w:after="156" w:after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初步评审表</w:t>
      </w:r>
    </w:p>
    <w:tbl>
      <w:tblPr>
        <w:tblStyle w:val="15"/>
        <w:tblW w:w="9408" w:type="dxa"/>
        <w:tblInd w:w="-289"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1"/>
        <w:gridCol w:w="1686"/>
        <w:gridCol w:w="2949"/>
        <w:gridCol w:w="4212"/>
      </w:tblGrid>
      <w:tr w14:paraId="47CAA5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8" w:hRule="atLeast"/>
        </w:trPr>
        <w:tc>
          <w:tcPr>
            <w:tcW w:w="2247" w:type="dxa"/>
            <w:gridSpan w:val="2"/>
            <w:tcBorders>
              <w:top w:val="single" w:color="auto" w:sz="4" w:space="0"/>
              <w:left w:val="single" w:color="auto" w:sz="4" w:space="0"/>
              <w:bottom w:val="single" w:color="auto" w:sz="4" w:space="0"/>
              <w:right w:val="single" w:color="auto" w:sz="4" w:space="0"/>
            </w:tcBorders>
            <w:noWrap w:val="0"/>
            <w:vAlign w:val="center"/>
          </w:tcPr>
          <w:p w14:paraId="7E6A5D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评审步骤</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490E0C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评审因素</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01C4AA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评审标准</w:t>
            </w:r>
          </w:p>
        </w:tc>
      </w:tr>
      <w:tr w14:paraId="748191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8" w:hRule="atLeast"/>
        </w:trPr>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15136E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1686" w:type="dxa"/>
            <w:vMerge w:val="restart"/>
            <w:tcBorders>
              <w:top w:val="single" w:color="auto" w:sz="4" w:space="0"/>
              <w:left w:val="nil"/>
              <w:bottom w:val="single" w:color="auto" w:sz="4" w:space="0"/>
              <w:right w:val="single" w:color="auto" w:sz="4" w:space="0"/>
            </w:tcBorders>
            <w:noWrap w:val="0"/>
            <w:vAlign w:val="center"/>
          </w:tcPr>
          <w:p w14:paraId="350253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形式评审标准</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042F5E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529022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与营业执照一致</w:t>
            </w:r>
          </w:p>
        </w:tc>
      </w:tr>
      <w:tr w14:paraId="50ED75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1798CF0E">
            <w:pPr>
              <w:spacing w:line="360" w:lineRule="auto"/>
              <w:rPr>
                <w:rFonts w:hint="eastAsia" w:ascii="宋体" w:hAnsi="宋体" w:eastAsia="宋体" w:cs="宋体"/>
                <w:color w:val="auto"/>
                <w:sz w:val="24"/>
                <w:szCs w:val="24"/>
                <w:highlight w:val="none"/>
              </w:rPr>
            </w:pPr>
          </w:p>
        </w:tc>
        <w:tc>
          <w:tcPr>
            <w:tcW w:w="1686" w:type="dxa"/>
            <w:vMerge w:val="continue"/>
            <w:tcBorders>
              <w:top w:val="single" w:color="auto" w:sz="4" w:space="0"/>
              <w:left w:val="nil"/>
              <w:bottom w:val="single" w:color="auto" w:sz="4" w:space="0"/>
              <w:right w:val="single" w:color="auto" w:sz="4" w:space="0"/>
            </w:tcBorders>
            <w:noWrap w:val="0"/>
            <w:vAlign w:val="center"/>
          </w:tcPr>
          <w:p w14:paraId="6F59BE1B">
            <w:pPr>
              <w:spacing w:line="360" w:lineRule="auto"/>
              <w:rPr>
                <w:rFonts w:hint="eastAsia" w:ascii="宋体" w:hAnsi="宋体" w:eastAsia="宋体" w:cs="宋体"/>
                <w:color w:val="auto"/>
                <w:sz w:val="24"/>
                <w:szCs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7CBC75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响应性文件签字或盖章</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79AC49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符合招标文件中提供的响应文件格式和要求签字或盖章</w:t>
            </w:r>
          </w:p>
        </w:tc>
      </w:tr>
      <w:tr w14:paraId="07D84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672D1259">
            <w:pPr>
              <w:spacing w:line="360" w:lineRule="auto"/>
              <w:rPr>
                <w:rFonts w:hint="eastAsia" w:ascii="宋体" w:hAnsi="宋体" w:eastAsia="宋体" w:cs="宋体"/>
                <w:color w:val="auto"/>
                <w:sz w:val="24"/>
                <w:szCs w:val="24"/>
                <w:highlight w:val="none"/>
              </w:rPr>
            </w:pPr>
          </w:p>
        </w:tc>
        <w:tc>
          <w:tcPr>
            <w:tcW w:w="1686" w:type="dxa"/>
            <w:vMerge w:val="continue"/>
            <w:tcBorders>
              <w:top w:val="single" w:color="auto" w:sz="4" w:space="0"/>
              <w:left w:val="nil"/>
              <w:bottom w:val="single" w:color="auto" w:sz="4" w:space="0"/>
              <w:right w:val="single" w:color="auto" w:sz="4" w:space="0"/>
            </w:tcBorders>
            <w:noWrap w:val="0"/>
            <w:vAlign w:val="center"/>
          </w:tcPr>
          <w:p w14:paraId="573F7888">
            <w:pPr>
              <w:spacing w:line="360" w:lineRule="auto"/>
              <w:rPr>
                <w:rFonts w:hint="eastAsia" w:ascii="宋体" w:hAnsi="宋体" w:eastAsia="宋体" w:cs="宋体"/>
                <w:color w:val="auto"/>
                <w:sz w:val="24"/>
                <w:szCs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5FACFA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响应文件格式</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188619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符合招标文件中提供的响应文件格式和要求</w:t>
            </w:r>
          </w:p>
        </w:tc>
      </w:tr>
      <w:tr w14:paraId="2397A2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4773D6C3">
            <w:pPr>
              <w:spacing w:line="360" w:lineRule="auto"/>
              <w:rPr>
                <w:rFonts w:hint="eastAsia" w:ascii="宋体" w:hAnsi="宋体" w:eastAsia="宋体" w:cs="宋体"/>
                <w:color w:val="auto"/>
                <w:sz w:val="24"/>
                <w:szCs w:val="24"/>
                <w:highlight w:val="none"/>
              </w:rPr>
            </w:pPr>
          </w:p>
        </w:tc>
        <w:tc>
          <w:tcPr>
            <w:tcW w:w="1686" w:type="dxa"/>
            <w:vMerge w:val="continue"/>
            <w:tcBorders>
              <w:top w:val="single" w:color="auto" w:sz="4" w:space="0"/>
              <w:left w:val="nil"/>
              <w:bottom w:val="single" w:color="auto" w:sz="4" w:space="0"/>
              <w:right w:val="single" w:color="auto" w:sz="4" w:space="0"/>
            </w:tcBorders>
            <w:noWrap w:val="0"/>
            <w:vAlign w:val="center"/>
          </w:tcPr>
          <w:p w14:paraId="333E456E">
            <w:pPr>
              <w:spacing w:line="360" w:lineRule="auto"/>
              <w:rPr>
                <w:rFonts w:hint="eastAsia" w:ascii="宋体" w:hAnsi="宋体" w:eastAsia="宋体" w:cs="宋体"/>
                <w:color w:val="auto"/>
                <w:sz w:val="24"/>
                <w:szCs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322AC1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2AB8AF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投标报价超出采购预算的响应文件将被否决</w:t>
            </w:r>
          </w:p>
        </w:tc>
      </w:tr>
      <w:tr w14:paraId="30B948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07A11D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1686" w:type="dxa"/>
            <w:vMerge w:val="restart"/>
            <w:tcBorders>
              <w:top w:val="single" w:color="auto" w:sz="4" w:space="0"/>
              <w:left w:val="nil"/>
              <w:bottom w:val="single" w:color="auto" w:sz="4" w:space="0"/>
              <w:right w:val="single" w:color="auto" w:sz="4" w:space="0"/>
            </w:tcBorders>
            <w:noWrap w:val="0"/>
            <w:vAlign w:val="center"/>
          </w:tcPr>
          <w:p w14:paraId="76ECE2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资格评审标准</w:t>
            </w:r>
          </w:p>
        </w:tc>
        <w:tc>
          <w:tcPr>
            <w:tcW w:w="7161" w:type="dxa"/>
            <w:gridSpan w:val="2"/>
            <w:tcBorders>
              <w:top w:val="single" w:color="auto" w:sz="4" w:space="0"/>
              <w:left w:val="single" w:color="auto" w:sz="4" w:space="0"/>
              <w:bottom w:val="single" w:color="auto" w:sz="4" w:space="0"/>
              <w:right w:val="single" w:color="auto" w:sz="4" w:space="0"/>
            </w:tcBorders>
            <w:noWrap w:val="0"/>
            <w:vAlign w:val="center"/>
          </w:tcPr>
          <w:p w14:paraId="140E3E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符</w:t>
            </w:r>
            <w:r>
              <w:rPr>
                <w:rFonts w:hint="eastAsia" w:ascii="宋体" w:hAnsi="宋体" w:eastAsia="宋体" w:cs="宋体"/>
                <w:color w:val="auto"/>
                <w:spacing w:val="8"/>
                <w:sz w:val="24"/>
                <w:szCs w:val="24"/>
                <w:highlight w:val="none"/>
              </w:rPr>
              <w:t>合</w:t>
            </w:r>
            <w:r>
              <w:rPr>
                <w:rFonts w:hint="eastAsia" w:ascii="宋体" w:hAnsi="宋体" w:eastAsia="宋体" w:cs="宋体"/>
                <w:color w:val="auto"/>
                <w:spacing w:val="5"/>
                <w:sz w:val="24"/>
                <w:szCs w:val="24"/>
                <w:highlight w:val="none"/>
              </w:rPr>
              <w:t>第二章“投标人须知”第6项规定</w:t>
            </w:r>
          </w:p>
        </w:tc>
      </w:tr>
      <w:tr w14:paraId="703B26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3"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1ACE441B">
            <w:pPr>
              <w:spacing w:line="360" w:lineRule="auto"/>
              <w:rPr>
                <w:rFonts w:hint="eastAsia" w:ascii="宋体" w:hAnsi="宋体" w:eastAsia="宋体" w:cs="宋体"/>
                <w:color w:val="auto"/>
                <w:sz w:val="24"/>
                <w:szCs w:val="24"/>
                <w:highlight w:val="none"/>
              </w:rPr>
            </w:pPr>
          </w:p>
        </w:tc>
        <w:tc>
          <w:tcPr>
            <w:tcW w:w="1686" w:type="dxa"/>
            <w:vMerge w:val="continue"/>
            <w:tcBorders>
              <w:top w:val="single" w:color="auto" w:sz="4" w:space="0"/>
              <w:left w:val="nil"/>
              <w:bottom w:val="single" w:color="auto" w:sz="4" w:space="0"/>
              <w:right w:val="single" w:color="auto" w:sz="4" w:space="0"/>
            </w:tcBorders>
            <w:noWrap w:val="0"/>
            <w:vAlign w:val="center"/>
          </w:tcPr>
          <w:p w14:paraId="3911A1B7">
            <w:pPr>
              <w:spacing w:line="360" w:lineRule="auto"/>
              <w:rPr>
                <w:rFonts w:hint="eastAsia" w:ascii="宋体" w:hAnsi="宋体" w:eastAsia="宋体" w:cs="宋体"/>
                <w:color w:val="auto"/>
                <w:sz w:val="24"/>
                <w:szCs w:val="24"/>
                <w:highlight w:val="none"/>
              </w:rPr>
            </w:pPr>
          </w:p>
        </w:tc>
        <w:tc>
          <w:tcPr>
            <w:tcW w:w="7161" w:type="dxa"/>
            <w:gridSpan w:val="2"/>
            <w:tcBorders>
              <w:top w:val="single" w:color="auto" w:sz="4" w:space="0"/>
              <w:left w:val="single" w:color="auto" w:sz="4" w:space="0"/>
              <w:right w:val="single" w:color="auto" w:sz="4" w:space="0"/>
            </w:tcBorders>
            <w:noWrap w:val="0"/>
            <w:vAlign w:val="center"/>
          </w:tcPr>
          <w:p w14:paraId="41D20203">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其他要求。</w:t>
            </w:r>
          </w:p>
        </w:tc>
      </w:tr>
      <w:tr w14:paraId="0F1366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4" w:hRule="atLeast"/>
        </w:trPr>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536BCB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1686" w:type="dxa"/>
            <w:vMerge w:val="restart"/>
            <w:tcBorders>
              <w:top w:val="single" w:color="auto" w:sz="4" w:space="0"/>
              <w:left w:val="nil"/>
              <w:bottom w:val="single" w:color="auto" w:sz="4" w:space="0"/>
              <w:right w:val="single" w:color="auto" w:sz="4" w:space="0"/>
            </w:tcBorders>
            <w:noWrap w:val="0"/>
            <w:vAlign w:val="center"/>
          </w:tcPr>
          <w:p w14:paraId="0686BF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响应性评审标准</w:t>
            </w:r>
          </w:p>
        </w:tc>
        <w:tc>
          <w:tcPr>
            <w:tcW w:w="2949" w:type="dxa"/>
            <w:tcBorders>
              <w:top w:val="single" w:color="auto" w:sz="4" w:space="0"/>
              <w:left w:val="single" w:color="auto" w:sz="4" w:space="0"/>
              <w:right w:val="single" w:color="auto" w:sz="4" w:space="0"/>
            </w:tcBorders>
            <w:noWrap w:val="0"/>
            <w:vAlign w:val="center"/>
          </w:tcPr>
          <w:p w14:paraId="214D6B1F">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服务期限</w:t>
            </w:r>
          </w:p>
        </w:tc>
        <w:tc>
          <w:tcPr>
            <w:tcW w:w="4212" w:type="dxa"/>
            <w:tcBorders>
              <w:top w:val="single" w:color="auto" w:sz="4" w:space="0"/>
              <w:left w:val="single" w:color="auto" w:sz="4" w:space="0"/>
              <w:right w:val="single" w:color="auto" w:sz="4" w:space="0"/>
            </w:tcBorders>
            <w:noWrap w:val="0"/>
            <w:vAlign w:val="center"/>
          </w:tcPr>
          <w:p w14:paraId="63CFCD37">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符合第二章“投标人须知”规定</w:t>
            </w:r>
          </w:p>
        </w:tc>
      </w:tr>
      <w:tr w14:paraId="6F832F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4"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0DB7D46F">
            <w:pPr>
              <w:spacing w:line="360" w:lineRule="auto"/>
              <w:rPr>
                <w:rFonts w:hint="eastAsia" w:ascii="宋体" w:hAnsi="宋体" w:eastAsia="宋体" w:cs="宋体"/>
                <w:color w:val="auto"/>
                <w:sz w:val="24"/>
                <w:szCs w:val="24"/>
                <w:highlight w:val="none"/>
              </w:rPr>
            </w:pPr>
          </w:p>
        </w:tc>
        <w:tc>
          <w:tcPr>
            <w:tcW w:w="1686" w:type="dxa"/>
            <w:vMerge w:val="continue"/>
            <w:tcBorders>
              <w:top w:val="single" w:color="auto" w:sz="4" w:space="0"/>
              <w:left w:val="nil"/>
              <w:bottom w:val="single" w:color="auto" w:sz="4" w:space="0"/>
              <w:right w:val="single" w:color="auto" w:sz="4" w:space="0"/>
            </w:tcBorders>
            <w:noWrap w:val="0"/>
            <w:vAlign w:val="center"/>
          </w:tcPr>
          <w:p w14:paraId="5913B719">
            <w:pPr>
              <w:spacing w:line="360" w:lineRule="auto"/>
              <w:rPr>
                <w:rFonts w:hint="eastAsia" w:ascii="宋体" w:hAnsi="宋体" w:eastAsia="宋体" w:cs="宋体"/>
                <w:color w:val="auto"/>
                <w:sz w:val="24"/>
                <w:szCs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357052C9">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质量要求</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13048A7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符合第二章“投标人须知”规定</w:t>
            </w:r>
          </w:p>
        </w:tc>
      </w:tr>
      <w:tr w14:paraId="098D72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4"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707685F3">
            <w:pPr>
              <w:spacing w:line="360" w:lineRule="auto"/>
              <w:rPr>
                <w:rFonts w:hint="eastAsia" w:ascii="宋体" w:hAnsi="宋体" w:eastAsia="宋体" w:cs="宋体"/>
                <w:color w:val="auto"/>
                <w:sz w:val="24"/>
                <w:szCs w:val="24"/>
                <w:highlight w:val="none"/>
              </w:rPr>
            </w:pPr>
          </w:p>
        </w:tc>
        <w:tc>
          <w:tcPr>
            <w:tcW w:w="1686" w:type="dxa"/>
            <w:vMerge w:val="continue"/>
            <w:tcBorders>
              <w:top w:val="single" w:color="auto" w:sz="4" w:space="0"/>
              <w:left w:val="nil"/>
              <w:bottom w:val="single" w:color="auto" w:sz="4" w:space="0"/>
              <w:right w:val="single" w:color="auto" w:sz="4" w:space="0"/>
            </w:tcBorders>
            <w:noWrap w:val="0"/>
            <w:vAlign w:val="center"/>
          </w:tcPr>
          <w:p w14:paraId="2EE5FF21">
            <w:pPr>
              <w:spacing w:line="360" w:lineRule="auto"/>
              <w:rPr>
                <w:rFonts w:hint="eastAsia" w:ascii="宋体" w:hAnsi="宋体" w:eastAsia="宋体" w:cs="宋体"/>
                <w:color w:val="auto"/>
                <w:sz w:val="24"/>
                <w:szCs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198E6B8D">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投标有效期</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1CDF1BE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符合第二章“投标人须知”规定</w:t>
            </w:r>
          </w:p>
        </w:tc>
      </w:tr>
    </w:tbl>
    <w:p w14:paraId="33A70CF9">
      <w:pPr>
        <w:spacing w:after="156" w:afterLines="50" w:line="360" w:lineRule="auto"/>
        <w:jc w:val="center"/>
        <w:rPr>
          <w:rFonts w:hint="eastAsia" w:ascii="宋体" w:hAnsi="宋体" w:eastAsia="宋体" w:cs="宋体"/>
          <w:b/>
          <w:bCs/>
          <w:color w:val="auto"/>
          <w:sz w:val="24"/>
          <w:szCs w:val="24"/>
          <w:highlight w:val="none"/>
        </w:rPr>
      </w:pPr>
      <w:bookmarkStart w:id="152" w:name="_Toc17298"/>
      <w:bookmarkStart w:id="153" w:name="_Toc2111"/>
      <w:bookmarkStart w:id="154" w:name="_Toc28931"/>
      <w:r>
        <w:rPr>
          <w:rFonts w:hint="eastAsia" w:ascii="宋体" w:hAnsi="宋体" w:eastAsia="宋体" w:cs="宋体"/>
          <w:b/>
          <w:bCs/>
          <w:color w:val="auto"/>
          <w:sz w:val="24"/>
          <w:szCs w:val="24"/>
          <w:highlight w:val="none"/>
        </w:rPr>
        <w:t>详细评审表</w:t>
      </w:r>
      <w:bookmarkEnd w:id="152"/>
      <w:bookmarkEnd w:id="153"/>
      <w:bookmarkEnd w:id="154"/>
    </w:p>
    <w:tbl>
      <w:tblPr>
        <w:tblStyle w:val="15"/>
        <w:tblW w:w="9356" w:type="dxa"/>
        <w:tblInd w:w="-289"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06"/>
        <w:gridCol w:w="182"/>
        <w:gridCol w:w="444"/>
        <w:gridCol w:w="1075"/>
        <w:gridCol w:w="6549"/>
      </w:tblGrid>
      <w:tr w14:paraId="795607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288" w:type="dxa"/>
            <w:gridSpan w:val="2"/>
            <w:tcBorders>
              <w:top w:val="single" w:color="auto" w:sz="4" w:space="0"/>
              <w:left w:val="single" w:color="auto" w:sz="4" w:space="0"/>
              <w:bottom w:val="single" w:color="auto" w:sz="4" w:space="0"/>
              <w:right w:val="single" w:color="auto" w:sz="4" w:space="0"/>
            </w:tcBorders>
            <w:noWrap w:val="0"/>
            <w:vAlign w:val="center"/>
          </w:tcPr>
          <w:p w14:paraId="46790A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8068" w:type="dxa"/>
            <w:gridSpan w:val="3"/>
            <w:tcBorders>
              <w:top w:val="single" w:color="auto" w:sz="4" w:space="0"/>
              <w:left w:val="single" w:color="auto" w:sz="4" w:space="0"/>
              <w:bottom w:val="single" w:color="auto" w:sz="4" w:space="0"/>
              <w:right w:val="single" w:color="auto" w:sz="4" w:space="0"/>
            </w:tcBorders>
            <w:noWrap w:val="0"/>
            <w:vAlign w:val="center"/>
          </w:tcPr>
          <w:p w14:paraId="1060C8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评审标准</w:t>
            </w:r>
          </w:p>
        </w:tc>
      </w:tr>
      <w:tr w14:paraId="10D447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0" w:hRule="atLeast"/>
        </w:trPr>
        <w:tc>
          <w:tcPr>
            <w:tcW w:w="2807" w:type="dxa"/>
            <w:gridSpan w:val="4"/>
            <w:tcBorders>
              <w:top w:val="single" w:color="auto" w:sz="4" w:space="0"/>
              <w:left w:val="single" w:color="auto" w:sz="4" w:space="0"/>
              <w:bottom w:val="single" w:color="auto" w:sz="4" w:space="0"/>
              <w:right w:val="single" w:color="auto" w:sz="4" w:space="0"/>
            </w:tcBorders>
            <w:noWrap w:val="0"/>
            <w:vAlign w:val="center"/>
          </w:tcPr>
          <w:p w14:paraId="113CD4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分值构成</w:t>
            </w:r>
          </w:p>
          <w:p w14:paraId="2F0873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4A5AEF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投标报价：20分 </w:t>
            </w:r>
          </w:p>
          <w:p w14:paraId="2C28FB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技术标：65分</w:t>
            </w:r>
          </w:p>
          <w:p w14:paraId="6BD151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标：15分</w:t>
            </w:r>
          </w:p>
        </w:tc>
      </w:tr>
      <w:tr w14:paraId="145932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4" w:hRule="atLeast"/>
        </w:trPr>
        <w:tc>
          <w:tcPr>
            <w:tcW w:w="1106" w:type="dxa"/>
            <w:tcBorders>
              <w:top w:val="single" w:color="auto" w:sz="4" w:space="0"/>
              <w:left w:val="single" w:color="auto" w:sz="4" w:space="0"/>
              <w:bottom w:val="nil"/>
              <w:right w:val="single" w:color="auto" w:sz="4" w:space="0"/>
            </w:tcBorders>
            <w:noWrap w:val="0"/>
            <w:vAlign w:val="center"/>
          </w:tcPr>
          <w:p w14:paraId="39671D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投标报价（20分）</w:t>
            </w:r>
          </w:p>
        </w:tc>
        <w:tc>
          <w:tcPr>
            <w:tcW w:w="1701" w:type="dxa"/>
            <w:gridSpan w:val="3"/>
            <w:tcBorders>
              <w:top w:val="single" w:color="auto" w:sz="4" w:space="0"/>
              <w:left w:val="single" w:color="auto" w:sz="4" w:space="0"/>
              <w:bottom w:val="nil"/>
              <w:right w:val="single" w:color="auto" w:sz="4" w:space="0"/>
            </w:tcBorders>
            <w:noWrap w:val="0"/>
            <w:vAlign w:val="center"/>
          </w:tcPr>
          <w:p w14:paraId="0568CE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549" w:type="dxa"/>
            <w:tcBorders>
              <w:top w:val="single" w:color="auto" w:sz="4" w:space="0"/>
              <w:left w:val="single" w:color="auto" w:sz="4" w:space="0"/>
              <w:bottom w:val="nil"/>
              <w:right w:val="single" w:color="auto" w:sz="4" w:space="0"/>
            </w:tcBorders>
            <w:noWrap w:val="0"/>
            <w:vAlign w:val="center"/>
          </w:tcPr>
          <w:p w14:paraId="4FFE0A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本项目报价得分采用低价优先法计算，即满足招标文件要求且在采购人公布的最高投标限价以下的最低报价为评标基准值，其报价得分为满分（20分）。</w:t>
            </w:r>
          </w:p>
          <w:p w14:paraId="6A45FD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其他投标人的报价得分统一按照下列公式计算：</w:t>
            </w:r>
          </w:p>
          <w:p w14:paraId="4BAF2C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投标报价得分=(评标基准价／投标报价)×20。</w:t>
            </w:r>
          </w:p>
          <w:p w14:paraId="11EEBA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86954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1.投标人的投报报价超出招标控制价的，按无效标处理。</w:t>
            </w:r>
          </w:p>
          <w:p w14:paraId="4B0F5C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2.经评标委员会全体认为最低报价低于成本价时，评标委员会可要求最低报价投标人对其报价合理性进行说明。若不能合理说明依据，可认定恶意投标，其投标将作为无效标处理。</w:t>
            </w:r>
          </w:p>
          <w:p w14:paraId="36A7F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注：本项目专门面向小微企业采购，不再执行价格评审优惠的扶持政策。</w:t>
            </w:r>
          </w:p>
        </w:tc>
      </w:tr>
      <w:tr w14:paraId="03A883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77" w:hRule="atLeast"/>
        </w:trPr>
        <w:tc>
          <w:tcPr>
            <w:tcW w:w="1106" w:type="dxa"/>
            <w:vMerge w:val="restart"/>
            <w:tcBorders>
              <w:top w:val="single" w:color="auto" w:sz="4" w:space="0"/>
              <w:left w:val="single" w:color="auto" w:sz="4" w:space="0"/>
              <w:right w:val="single" w:color="auto" w:sz="4" w:space="0"/>
            </w:tcBorders>
            <w:noWrap w:val="0"/>
            <w:vAlign w:val="center"/>
          </w:tcPr>
          <w:p w14:paraId="4575E6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技术标（65分）</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0F10A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总体抚育实施方案（10分)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0D3713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1、总体抚育实施方案思路清晰、完整全面、切实可行，方案的规范性、经济性、科学性、完整性及实际可操作性强，对项目实施具有较强的指导作用的得10分；</w:t>
            </w:r>
          </w:p>
          <w:p w14:paraId="4F1983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2、总体抚育实施方案思路基本清晰、较为全面，具有一定的合理性和可行性，方案的规范性、经济性、科学性、完整性及实际可操作性一般，对项目实施可起到一定指导作用的得6分；</w:t>
            </w:r>
          </w:p>
          <w:p w14:paraId="14CD8B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3、总体抚育实施方案基本满足要求，但合理性和可行性较差，方案的规范性、经济性、科学性、完整性及实际可操作性较差的得3分；</w:t>
            </w:r>
          </w:p>
          <w:p w14:paraId="6061F0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缺项或不提供得0分。</w:t>
            </w:r>
          </w:p>
        </w:tc>
      </w:tr>
      <w:tr w14:paraId="321092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77" w:hRule="atLeast"/>
        </w:trPr>
        <w:tc>
          <w:tcPr>
            <w:tcW w:w="1106" w:type="dxa"/>
            <w:vMerge w:val="continue"/>
            <w:tcBorders>
              <w:left w:val="single" w:color="auto" w:sz="4" w:space="0"/>
              <w:right w:val="single" w:color="auto" w:sz="4" w:space="0"/>
            </w:tcBorders>
            <w:noWrap w:val="0"/>
            <w:vAlign w:val="center"/>
          </w:tcPr>
          <w:p w14:paraId="5BC57E0E">
            <w:pPr>
              <w:spacing w:line="360" w:lineRule="auto"/>
              <w:jc w:val="center"/>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5C2C45E8">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专业技术方案(10分)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39D3284A">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针对疏伐、修枝、割灌、除草，剩余物清理的</w:t>
            </w:r>
            <w:r>
              <w:rPr>
                <w:rFonts w:hint="eastAsia" w:ascii="宋体" w:hAnsi="宋体" w:eastAsia="宋体" w:cs="宋体"/>
                <w:color w:val="auto"/>
                <w:sz w:val="24"/>
                <w:szCs w:val="24"/>
                <w:highlight w:val="none"/>
              </w:rPr>
              <w:t>技术方案具体、合理，全面考虑到项目实施的难点的得</w:t>
            </w:r>
            <w:r>
              <w:rPr>
                <w:rFonts w:hint="eastAsia" w:ascii="宋体" w:hAnsi="宋体" w:eastAsia="宋体" w:cs="宋体"/>
                <w:color w:val="auto"/>
                <w:sz w:val="24"/>
                <w:szCs w:val="24"/>
                <w:highlight w:val="none"/>
                <w:lang w:bidi="ar"/>
              </w:rPr>
              <w:t>10分；</w:t>
            </w:r>
          </w:p>
          <w:p w14:paraId="218A97C0">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技术方案较为全面，基本考虑到项目实施的难点的得</w:t>
            </w:r>
            <w:r>
              <w:rPr>
                <w:rFonts w:hint="eastAsia" w:ascii="宋体" w:hAnsi="宋体" w:eastAsia="宋体" w:cs="宋体"/>
                <w:color w:val="auto"/>
                <w:sz w:val="24"/>
                <w:szCs w:val="24"/>
                <w:highlight w:val="none"/>
                <w:lang w:bidi="ar"/>
              </w:rPr>
              <w:t>6分；</w:t>
            </w:r>
          </w:p>
          <w:p w14:paraId="2EF74931">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技术方案一般或描述较为简单，未能完全考虑项目实施的难点的的得</w:t>
            </w:r>
            <w:r>
              <w:rPr>
                <w:rFonts w:hint="eastAsia" w:ascii="宋体" w:hAnsi="宋体" w:eastAsia="宋体" w:cs="宋体"/>
                <w:color w:val="auto"/>
                <w:sz w:val="24"/>
                <w:szCs w:val="24"/>
                <w:highlight w:val="none"/>
                <w:lang w:bidi="ar"/>
              </w:rPr>
              <w:t>3分；</w:t>
            </w:r>
          </w:p>
          <w:p w14:paraId="0176D00F">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未针对本项描述的得0分。</w:t>
            </w:r>
          </w:p>
        </w:tc>
      </w:tr>
      <w:tr w14:paraId="617864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1106" w:type="dxa"/>
            <w:vMerge w:val="continue"/>
            <w:tcBorders>
              <w:left w:val="single" w:color="auto" w:sz="4" w:space="0"/>
              <w:right w:val="single" w:color="auto" w:sz="4" w:space="0"/>
            </w:tcBorders>
            <w:noWrap w:val="0"/>
            <w:vAlign w:val="center"/>
          </w:tcPr>
          <w:p w14:paraId="611A331A">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15056F1">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项目管理机构及人员配置计划(7分)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2BA19337">
            <w:pPr>
              <w:widowControl/>
              <w:numPr>
                <w:ilvl w:val="0"/>
                <w:numId w:val="2"/>
              </w:numPr>
              <w:kinsoku w:val="0"/>
              <w:autoSpaceDE w:val="0"/>
              <w:autoSpaceDN w:val="0"/>
              <w:adjustRightInd w:val="0"/>
              <w:snapToGrid w:val="0"/>
              <w:spacing w:line="360" w:lineRule="auto"/>
              <w:jc w:val="left"/>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项目组织管理机构设置及人员配置任务明确，能高效运行并满足服务需要的得3分，任务基本明确的得2分，一般的得1分，未针对本项描述的得0分。</w:t>
            </w:r>
          </w:p>
          <w:p w14:paraId="4B5453C6">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2）人员配置情况</w:t>
            </w:r>
          </w:p>
          <w:p w14:paraId="728C8525">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合理，主要技术岗位的配置完善的得4分，配置基本合理得2分，一般的得 1分，未针对本项描述的得0分。</w:t>
            </w:r>
          </w:p>
        </w:tc>
      </w:tr>
      <w:tr w14:paraId="2148B0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1106" w:type="dxa"/>
            <w:vMerge w:val="continue"/>
            <w:tcBorders>
              <w:left w:val="single" w:color="auto" w:sz="4" w:space="0"/>
              <w:right w:val="single" w:color="auto" w:sz="4" w:space="0"/>
            </w:tcBorders>
            <w:noWrap w:val="0"/>
            <w:vAlign w:val="center"/>
          </w:tcPr>
          <w:p w14:paraId="469B11D6">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8C91D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确保质量的技术组织措施</w:t>
            </w:r>
          </w:p>
          <w:p w14:paraId="72DD9A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1D7C99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确保质量、降低成本、缩短工期、减轻劳动强度、提高工效等方面的作用:事前、事中、事后控制措施（合理得当，内容完整，针对性强得9分；内容基本完整，针对性较强得6分；内容基本完整，有针对性得3分；内容不完整得1分；未针对本项目描述的得0分）。</w:t>
            </w:r>
          </w:p>
        </w:tc>
      </w:tr>
      <w:tr w14:paraId="59BFB3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8" w:hRule="atLeast"/>
        </w:trPr>
        <w:tc>
          <w:tcPr>
            <w:tcW w:w="1106" w:type="dxa"/>
            <w:vMerge w:val="continue"/>
            <w:tcBorders>
              <w:left w:val="single" w:color="auto" w:sz="4" w:space="0"/>
              <w:right w:val="single" w:color="auto" w:sz="4" w:space="0"/>
            </w:tcBorders>
            <w:noWrap w:val="0"/>
            <w:vAlign w:val="center"/>
          </w:tcPr>
          <w:p w14:paraId="3D649023">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1CD284B1">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工期进度保证措施（5分)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1ABB9DE1">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各施工节点，月、旬作业计划，定期落实计划实施;合理调配机械、材料、劳动力方案紧密配合，及时解决有关问题，有工期目标及奖惩办法合理得当，内容完整，针对性强得5分；内容基本完整，有针对性得3分；内容不完整得1分；未针对本项目描述的得0分。</w:t>
            </w:r>
          </w:p>
        </w:tc>
      </w:tr>
      <w:tr w14:paraId="30AE5C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8" w:hRule="atLeast"/>
        </w:trPr>
        <w:tc>
          <w:tcPr>
            <w:tcW w:w="1106" w:type="dxa"/>
            <w:vMerge w:val="continue"/>
            <w:tcBorders>
              <w:left w:val="single" w:color="auto" w:sz="4" w:space="0"/>
              <w:right w:val="single" w:color="auto" w:sz="4" w:space="0"/>
            </w:tcBorders>
            <w:noWrap w:val="0"/>
            <w:vAlign w:val="center"/>
          </w:tcPr>
          <w:p w14:paraId="73F4B986">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4644FA4D">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安全、文明保证措施（9分)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479F0030">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创安全文明标准化目标明确，有针对项目实际情况，科学可行的创建计划和符合相关标准、规范、规程的创建保证措施和安全文明措施费用投入使用计划，符合有关规定。</w:t>
            </w:r>
          </w:p>
          <w:p w14:paraId="54DD0E4A">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1、安全、文明技术方案措施科学合理、先进可行。得9分；</w:t>
            </w:r>
          </w:p>
          <w:p w14:paraId="7B453057">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2、安全、文明技术方案措施基本合理可行的得6分；</w:t>
            </w:r>
          </w:p>
          <w:p w14:paraId="21057598">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3、安全、文明技术方案措施合理性和可行性较差的得3分；</w:t>
            </w:r>
          </w:p>
          <w:p w14:paraId="0A60EE11">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4、未针对本项目描述的得0分。</w:t>
            </w:r>
          </w:p>
        </w:tc>
      </w:tr>
      <w:tr w14:paraId="3F8F10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8" w:hRule="atLeast"/>
        </w:trPr>
        <w:tc>
          <w:tcPr>
            <w:tcW w:w="1106" w:type="dxa"/>
            <w:vMerge w:val="continue"/>
            <w:tcBorders>
              <w:left w:val="single" w:color="auto" w:sz="4" w:space="0"/>
              <w:right w:val="single" w:color="auto" w:sz="4" w:space="0"/>
            </w:tcBorders>
            <w:noWrap w:val="0"/>
            <w:vAlign w:val="center"/>
          </w:tcPr>
          <w:p w14:paraId="1285B85E">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28166EB">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资源投入(7分)</w:t>
            </w:r>
          </w:p>
          <w:p w14:paraId="54E5485B">
            <w:pPr>
              <w:spacing w:line="360" w:lineRule="auto"/>
              <w:textAlignment w:val="baseline"/>
              <w:rPr>
                <w:rFonts w:hint="eastAsia" w:ascii="宋体" w:hAnsi="宋体" w:eastAsia="宋体" w:cs="宋体"/>
                <w:color w:val="auto"/>
                <w:sz w:val="24"/>
                <w:szCs w:val="24"/>
                <w:highlight w:val="none"/>
              </w:rPr>
            </w:pPr>
          </w:p>
        </w:tc>
        <w:tc>
          <w:tcPr>
            <w:tcW w:w="6549" w:type="dxa"/>
            <w:tcBorders>
              <w:top w:val="single" w:color="auto" w:sz="4" w:space="0"/>
              <w:left w:val="single" w:color="auto" w:sz="4" w:space="0"/>
              <w:bottom w:val="single" w:color="auto" w:sz="4" w:space="0"/>
              <w:right w:val="single" w:color="auto" w:sz="4" w:space="0"/>
            </w:tcBorders>
            <w:noWrap w:val="0"/>
            <w:vAlign w:val="center"/>
          </w:tcPr>
          <w:p w14:paraId="7A2408CB">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投入计划与进度计划呼应，采用先进机械设备且配置合理、先进，满足安全技术规范和项目进度需要；劳动力：投入计划与进度计划呼应，较好满足项目需要，调配投入计划合理、准确；主要物资计划：主要物资投入计划与进度计划呼应，较好满足施工需要，调配投入计划合理、准确。得7分；</w:t>
            </w:r>
          </w:p>
          <w:p w14:paraId="045E76E3">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机械：投入计划与进度计划呼应，机械设备配置基本合理，满足安全技术规范和项目进度需要；劳动力：投入计划与进度计划呼应，基本满足项目需要，调配投入计划基本合理；</w:t>
            </w:r>
          </w:p>
          <w:p w14:paraId="1317CCEF">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主要物资计划：主要物资投入计划与进度计划呼应，基本满足项目需要，调配投入计划基本合理。得4分；</w:t>
            </w:r>
          </w:p>
          <w:p w14:paraId="453C62D6">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其他得1分</w:t>
            </w:r>
          </w:p>
          <w:p w14:paraId="1FD55A0C">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缺项得0分</w:t>
            </w:r>
          </w:p>
        </w:tc>
      </w:tr>
      <w:tr w14:paraId="777835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12" w:hRule="atLeast"/>
        </w:trPr>
        <w:tc>
          <w:tcPr>
            <w:tcW w:w="1106" w:type="dxa"/>
            <w:vMerge w:val="continue"/>
            <w:tcBorders>
              <w:left w:val="single" w:color="auto" w:sz="4" w:space="0"/>
              <w:right w:val="single" w:color="auto" w:sz="4" w:space="0"/>
            </w:tcBorders>
            <w:noWrap w:val="0"/>
            <w:vAlign w:val="center"/>
          </w:tcPr>
          <w:p w14:paraId="5D59F16E">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051B80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紧急情况的处措施、应急预案及风险控制(8分)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05EF9B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根据措施、相关应急预案及</w:t>
            </w:r>
            <w:r>
              <w:rPr>
                <w:rFonts w:hint="eastAsia" w:ascii="宋体" w:hAnsi="宋体" w:eastAsia="宋体" w:cs="宋体"/>
                <w:color w:val="auto"/>
                <w:sz w:val="24"/>
                <w:szCs w:val="24"/>
                <w:highlight w:val="none"/>
                <w:lang w:bidi="ar"/>
              </w:rPr>
              <w:t>风险控制</w:t>
            </w:r>
            <w:r>
              <w:rPr>
                <w:rFonts w:hint="eastAsia" w:ascii="宋体" w:hAnsi="宋体" w:eastAsia="宋体" w:cs="宋体"/>
                <w:color w:val="auto"/>
                <w:sz w:val="24"/>
                <w:szCs w:val="24"/>
                <w:highlight w:val="none"/>
              </w:rPr>
              <w:t>健全、可行性强，合理可行得8分；</w:t>
            </w:r>
          </w:p>
          <w:p w14:paraId="551A7F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根据措施、相关应急预案及</w:t>
            </w:r>
            <w:r>
              <w:rPr>
                <w:rFonts w:hint="eastAsia" w:ascii="宋体" w:hAnsi="宋体" w:eastAsia="宋体" w:cs="宋体"/>
                <w:color w:val="auto"/>
                <w:sz w:val="24"/>
                <w:szCs w:val="24"/>
                <w:highlight w:val="none"/>
                <w:lang w:bidi="ar"/>
              </w:rPr>
              <w:t>风险控制</w:t>
            </w:r>
            <w:r>
              <w:rPr>
                <w:rFonts w:hint="eastAsia" w:ascii="宋体" w:hAnsi="宋体" w:eastAsia="宋体" w:cs="宋体"/>
                <w:color w:val="auto"/>
                <w:sz w:val="24"/>
                <w:szCs w:val="24"/>
                <w:highlight w:val="none"/>
              </w:rPr>
              <w:t>可行性一般，基本合理得4分；</w:t>
            </w:r>
          </w:p>
          <w:p w14:paraId="0A9310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根据措施、相关应急预案及</w:t>
            </w:r>
            <w:r>
              <w:rPr>
                <w:rFonts w:hint="eastAsia" w:ascii="宋体" w:hAnsi="宋体" w:eastAsia="宋体" w:cs="宋体"/>
                <w:color w:val="auto"/>
                <w:sz w:val="24"/>
                <w:szCs w:val="24"/>
                <w:highlight w:val="none"/>
                <w:lang w:bidi="ar"/>
              </w:rPr>
              <w:t>风险控制</w:t>
            </w:r>
            <w:r>
              <w:rPr>
                <w:rFonts w:hint="eastAsia" w:ascii="宋体" w:hAnsi="宋体" w:eastAsia="宋体" w:cs="宋体"/>
                <w:color w:val="auto"/>
                <w:sz w:val="24"/>
                <w:szCs w:val="24"/>
                <w:highlight w:val="none"/>
              </w:rPr>
              <w:t>针对性不强，不合理得1分；</w:t>
            </w:r>
          </w:p>
          <w:p w14:paraId="0388E927">
            <w:pPr>
              <w:pStyle w:val="2"/>
              <w:rPr>
                <w:rFonts w:hint="eastAsia" w:ascii="宋体" w:hAnsi="宋体" w:eastAsia="宋体" w:cs="宋体"/>
                <w:color w:val="auto"/>
                <w:highlight w:val="none"/>
              </w:rPr>
            </w:pPr>
            <w:r>
              <w:rPr>
                <w:rFonts w:hint="eastAsia" w:ascii="宋体" w:hAnsi="宋体" w:eastAsia="宋体" w:cs="宋体"/>
                <w:color w:val="auto"/>
                <w:highlight w:val="none"/>
              </w:rPr>
              <w:t>缺项得0分</w:t>
            </w:r>
          </w:p>
        </w:tc>
      </w:tr>
      <w:tr w14:paraId="07AC57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17" w:hRule="atLeast"/>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14:paraId="628E7F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商务标（15分）</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3B144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14:paraId="67FE73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（7分)</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3A0BC772">
            <w:pPr>
              <w:widowControl/>
              <w:numPr>
                <w:ilvl w:val="0"/>
                <w:numId w:val="3"/>
              </w:numPr>
              <w:kinsoku w:val="0"/>
              <w:autoSpaceDE w:val="0"/>
              <w:autoSpaceDN w:val="0"/>
              <w:adjustRightInd w:val="0"/>
              <w:snapToGrid w:val="0"/>
              <w:spacing w:line="360" w:lineRule="auto"/>
              <w:jc w:val="left"/>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服务承诺符合本项目实际情况，确保依法依规，服务承诺合理，详实可行,内容全面得3分；服务承诺内容不全面得1分；缺项、不提供得0分。</w:t>
            </w:r>
          </w:p>
          <w:p w14:paraId="7CA22A95">
            <w:pPr>
              <w:widowControl/>
              <w:numPr>
                <w:ilvl w:val="0"/>
                <w:numId w:val="3"/>
              </w:numPr>
              <w:kinsoku w:val="0"/>
              <w:autoSpaceDE w:val="0"/>
              <w:autoSpaceDN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提供保证进度、质量、安全、扬尘治理等方面合理化建议，内容明确具体得4分；内容较合理，不明确得2分；缺项、不提供得0分。</w:t>
            </w:r>
          </w:p>
        </w:tc>
      </w:tr>
      <w:tr w14:paraId="46EFFD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0" w:hRule="atLeast"/>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03C71EEA">
            <w:pPr>
              <w:spacing w:line="360" w:lineRule="auto"/>
              <w:rPr>
                <w:rFonts w:hint="eastAsia" w:ascii="宋体" w:hAnsi="宋体" w:eastAsia="宋体" w:cs="宋体"/>
                <w:color w:val="auto"/>
                <w:sz w:val="24"/>
                <w:szCs w:val="24"/>
                <w:highlight w:val="none"/>
              </w:rPr>
            </w:pPr>
          </w:p>
        </w:tc>
        <w:tc>
          <w:tcPr>
            <w:tcW w:w="1701" w:type="dxa"/>
            <w:gridSpan w:val="3"/>
            <w:tcBorders>
              <w:top w:val="single" w:color="auto" w:sz="4" w:space="0"/>
              <w:left w:val="single" w:color="auto" w:sz="4" w:space="0"/>
              <w:right w:val="single" w:color="auto" w:sz="4" w:space="0"/>
            </w:tcBorders>
            <w:noWrap w:val="0"/>
            <w:vAlign w:val="center"/>
          </w:tcPr>
          <w:p w14:paraId="6B41E9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售后服务方案（8分)</w:t>
            </w:r>
          </w:p>
        </w:tc>
        <w:tc>
          <w:tcPr>
            <w:tcW w:w="6549" w:type="dxa"/>
            <w:tcBorders>
              <w:top w:val="single" w:color="auto" w:sz="4" w:space="0"/>
              <w:left w:val="single" w:color="auto" w:sz="4" w:space="0"/>
              <w:right w:val="single" w:color="auto" w:sz="4" w:space="0"/>
            </w:tcBorders>
            <w:noWrap w:val="0"/>
            <w:vAlign w:val="center"/>
          </w:tcPr>
          <w:p w14:paraId="387CEC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根据各投标人售后服务情况，包括但不限于:配备稳定的技术服务人员、响应时间、服务承诺及服务便利性等针对性强，全面到位得8分；</w:t>
            </w:r>
          </w:p>
          <w:p w14:paraId="7DD5E1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配备稳定的技术服务人员、响应时间、服务承诺及服务便利性等针对性较强，合理可行得5分；</w:t>
            </w:r>
          </w:p>
          <w:p w14:paraId="7B821CE5">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配备稳定的技术服务人员、响应时间、服务承诺及服务便利性等不合理得2分；</w:t>
            </w:r>
            <w:r>
              <w:rPr>
                <w:rFonts w:hint="eastAsia" w:ascii="宋体" w:hAnsi="宋体" w:eastAsia="宋体" w:cs="宋体"/>
                <w:color w:val="auto"/>
                <w:sz w:val="24"/>
                <w:szCs w:val="24"/>
                <w:highlight w:val="none"/>
                <w:lang w:bidi="ar"/>
              </w:rPr>
              <w:t xml:space="preserve"> </w:t>
            </w:r>
          </w:p>
          <w:p w14:paraId="0A20B9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不提供得0分</w:t>
            </w:r>
            <w:r>
              <w:rPr>
                <w:rFonts w:hint="eastAsia" w:ascii="宋体" w:hAnsi="宋体" w:eastAsia="宋体" w:cs="宋体"/>
                <w:color w:val="auto"/>
                <w:sz w:val="24"/>
                <w:szCs w:val="24"/>
                <w:highlight w:val="none"/>
              </w:rPr>
              <w:t>。</w:t>
            </w:r>
          </w:p>
        </w:tc>
      </w:tr>
      <w:tr w14:paraId="7AEA34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90" w:hRule="atLeast"/>
        </w:trPr>
        <w:tc>
          <w:tcPr>
            <w:tcW w:w="1732" w:type="dxa"/>
            <w:gridSpan w:val="3"/>
            <w:tcBorders>
              <w:top w:val="single" w:color="auto" w:sz="4" w:space="0"/>
              <w:left w:val="single" w:color="auto" w:sz="6" w:space="0"/>
              <w:bottom w:val="single" w:color="auto" w:sz="6" w:space="0"/>
              <w:right w:val="single" w:color="auto" w:sz="6" w:space="0"/>
            </w:tcBorders>
            <w:noWrap w:val="0"/>
            <w:vAlign w:val="center"/>
          </w:tcPr>
          <w:p w14:paraId="70BE0B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p w14:paraId="58DEC4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tc>
        <w:tc>
          <w:tcPr>
            <w:tcW w:w="7624" w:type="dxa"/>
            <w:gridSpan w:val="2"/>
            <w:tcBorders>
              <w:top w:val="single" w:color="auto" w:sz="4" w:space="0"/>
              <w:left w:val="single" w:color="auto" w:sz="6" w:space="0"/>
              <w:bottom w:val="single" w:color="auto" w:sz="6" w:space="0"/>
              <w:right w:val="single" w:color="auto" w:sz="4" w:space="0"/>
            </w:tcBorders>
            <w:noWrap w:val="0"/>
            <w:vAlign w:val="center"/>
          </w:tcPr>
          <w:p w14:paraId="6C6124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投标人综合得分＝最终报价得分＋技术标得分+商务标得分。</w:t>
            </w:r>
          </w:p>
        </w:tc>
      </w:tr>
      <w:tr w14:paraId="056D92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90" w:hRule="atLeast"/>
        </w:trPr>
        <w:tc>
          <w:tcPr>
            <w:tcW w:w="1732" w:type="dxa"/>
            <w:gridSpan w:val="3"/>
            <w:tcBorders>
              <w:top w:val="single" w:color="auto" w:sz="6" w:space="0"/>
              <w:left w:val="single" w:color="auto" w:sz="6" w:space="0"/>
              <w:bottom w:val="single" w:color="auto" w:sz="6" w:space="0"/>
              <w:right w:val="single" w:color="auto" w:sz="6" w:space="0"/>
            </w:tcBorders>
            <w:noWrap w:val="0"/>
            <w:vAlign w:val="center"/>
          </w:tcPr>
          <w:p w14:paraId="4CC42D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p w14:paraId="4AE966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w:t>
            </w:r>
          </w:p>
        </w:tc>
        <w:tc>
          <w:tcPr>
            <w:tcW w:w="7624" w:type="dxa"/>
            <w:gridSpan w:val="2"/>
            <w:tcBorders>
              <w:top w:val="single" w:color="auto" w:sz="6" w:space="0"/>
              <w:left w:val="single" w:color="auto" w:sz="6" w:space="0"/>
              <w:bottom w:val="single" w:color="auto" w:sz="6" w:space="0"/>
              <w:right w:val="single" w:color="auto" w:sz="4" w:space="0"/>
            </w:tcBorders>
            <w:noWrap w:val="0"/>
            <w:vAlign w:val="center"/>
          </w:tcPr>
          <w:p w14:paraId="1398D5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评标小组完成对商务标、技术标的汇总后，取算术平均值作为该投标人的最终得分。计算保留小数点后两位，小数点后第三位“四舍五入”。</w:t>
            </w:r>
          </w:p>
        </w:tc>
      </w:tr>
      <w:tr w14:paraId="23D178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90" w:hRule="atLeast"/>
        </w:trPr>
        <w:tc>
          <w:tcPr>
            <w:tcW w:w="1732" w:type="dxa"/>
            <w:gridSpan w:val="3"/>
            <w:tcBorders>
              <w:top w:val="single" w:color="auto" w:sz="6" w:space="0"/>
              <w:left w:val="single" w:color="auto" w:sz="6" w:space="0"/>
              <w:bottom w:val="single" w:color="auto" w:sz="4" w:space="0"/>
              <w:right w:val="single" w:color="auto" w:sz="6" w:space="0"/>
            </w:tcBorders>
            <w:noWrap w:val="0"/>
            <w:vAlign w:val="center"/>
          </w:tcPr>
          <w:p w14:paraId="4D2616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出具评审报告</w:t>
            </w:r>
          </w:p>
        </w:tc>
        <w:tc>
          <w:tcPr>
            <w:tcW w:w="7624" w:type="dxa"/>
            <w:gridSpan w:val="2"/>
            <w:tcBorders>
              <w:top w:val="single" w:color="auto" w:sz="6" w:space="0"/>
              <w:left w:val="single" w:color="auto" w:sz="6" w:space="0"/>
              <w:bottom w:val="single" w:color="auto" w:sz="4" w:space="0"/>
              <w:right w:val="single" w:color="auto" w:sz="4" w:space="0"/>
            </w:tcBorders>
            <w:noWrap w:val="0"/>
            <w:vAlign w:val="center"/>
          </w:tcPr>
          <w:p w14:paraId="2841F8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根据投标人最终得分由高到低的顺序推荐成交候选投标人，出具评审报告。</w:t>
            </w:r>
          </w:p>
        </w:tc>
      </w:tr>
    </w:tbl>
    <w:p w14:paraId="10088192">
      <w:pPr>
        <w:spacing w:before="1" w:line="360" w:lineRule="auto"/>
        <w:ind w:left="3997"/>
        <w:rPr>
          <w:rFonts w:hint="eastAsia" w:ascii="宋体" w:hAnsi="宋体" w:eastAsia="宋体" w:cs="宋体"/>
          <w:color w:val="auto"/>
          <w:sz w:val="24"/>
          <w:szCs w:val="24"/>
          <w:highlight w:val="none"/>
        </w:rPr>
      </w:pPr>
    </w:p>
    <w:p w14:paraId="51418C7E">
      <w:pPr>
        <w:spacing w:line="360" w:lineRule="auto"/>
        <w:ind w:firstLine="508" w:firstLineChars="200"/>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1</w:t>
      </w:r>
      <w:r>
        <w:rPr>
          <w:rFonts w:hint="eastAsia" w:ascii="宋体" w:hAnsi="宋体" w:eastAsia="宋体" w:cs="宋体"/>
          <w:color w:val="auto"/>
          <w:sz w:val="24"/>
          <w:highlight w:val="none"/>
        </w:rPr>
        <w:t>、评标方法</w:t>
      </w:r>
    </w:p>
    <w:p w14:paraId="1BAF5F28">
      <w:pPr>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本次评标采用综合评估法。评标委员会对满足招标文件实质性要求的投标文件按照上述规定的评分标准进行打分，并按得分由高到低顺序推荐中标候选人，或根据采购人授权直接确定中标人，但投标报价低于其成本的除外。综合评分相等时，以投标报价低的优先；投标报价也相等的，由采购人自行确定。</w:t>
      </w:r>
    </w:p>
    <w:p w14:paraId="5CC70A28">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2、评审标</w:t>
      </w:r>
      <w:r>
        <w:rPr>
          <w:rFonts w:hint="eastAsia" w:ascii="宋体" w:hAnsi="宋体" w:eastAsia="宋体" w:cs="宋体"/>
          <w:color w:val="auto"/>
          <w:spacing w:val="7"/>
          <w:sz w:val="24"/>
          <w:highlight w:val="none"/>
        </w:rPr>
        <w:t>准</w:t>
      </w:r>
    </w:p>
    <w:p w14:paraId="01732E1B">
      <w:pPr>
        <w:spacing w:line="360" w:lineRule="auto"/>
        <w:ind w:firstLine="524" w:firstLineChars="200"/>
        <w:rPr>
          <w:rFonts w:hint="eastAsia" w:ascii="宋体" w:hAnsi="宋体" w:eastAsia="宋体" w:cs="宋体"/>
          <w:color w:val="auto"/>
          <w:sz w:val="24"/>
          <w:highlight w:val="none"/>
        </w:rPr>
      </w:pPr>
      <w:r>
        <w:rPr>
          <w:rFonts w:hint="eastAsia" w:ascii="宋体" w:hAnsi="宋体" w:eastAsia="宋体" w:cs="宋体"/>
          <w:color w:val="auto"/>
          <w:spacing w:val="11"/>
          <w:sz w:val="24"/>
          <w:highlight w:val="none"/>
        </w:rPr>
        <w:t>2</w:t>
      </w:r>
      <w:r>
        <w:rPr>
          <w:rFonts w:hint="eastAsia" w:ascii="宋体" w:hAnsi="宋体" w:eastAsia="宋体" w:cs="宋体"/>
          <w:color w:val="auto"/>
          <w:spacing w:val="7"/>
          <w:sz w:val="24"/>
          <w:highlight w:val="none"/>
        </w:rPr>
        <w:t>.1 初步评审标准</w:t>
      </w:r>
    </w:p>
    <w:p w14:paraId="255E5AA2">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2</w:t>
      </w:r>
      <w:r>
        <w:rPr>
          <w:rFonts w:hint="eastAsia" w:ascii="宋体" w:hAnsi="宋体" w:eastAsia="宋体" w:cs="宋体"/>
          <w:color w:val="auto"/>
          <w:spacing w:val="13"/>
          <w:sz w:val="24"/>
          <w:highlight w:val="none"/>
        </w:rPr>
        <w:t>.</w:t>
      </w:r>
      <w:r>
        <w:rPr>
          <w:rFonts w:hint="eastAsia" w:ascii="宋体" w:hAnsi="宋体" w:eastAsia="宋体" w:cs="宋体"/>
          <w:color w:val="auto"/>
          <w:spacing w:val="7"/>
          <w:sz w:val="24"/>
          <w:highlight w:val="none"/>
        </w:rPr>
        <w:t>1.1 形式评审标准：见评标办法前附表。</w:t>
      </w:r>
    </w:p>
    <w:p w14:paraId="2C1C17DA">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2</w:t>
      </w:r>
      <w:r>
        <w:rPr>
          <w:rFonts w:hint="eastAsia" w:ascii="宋体" w:hAnsi="宋体" w:eastAsia="宋体" w:cs="宋体"/>
          <w:color w:val="auto"/>
          <w:spacing w:val="13"/>
          <w:sz w:val="24"/>
          <w:highlight w:val="none"/>
        </w:rPr>
        <w:t>.</w:t>
      </w:r>
      <w:r>
        <w:rPr>
          <w:rFonts w:hint="eastAsia" w:ascii="宋体" w:hAnsi="宋体" w:eastAsia="宋体" w:cs="宋体"/>
          <w:color w:val="auto"/>
          <w:spacing w:val="7"/>
          <w:sz w:val="24"/>
          <w:highlight w:val="none"/>
        </w:rPr>
        <w:t>1.2 资格评审标准：见评标办法前附表。</w:t>
      </w:r>
    </w:p>
    <w:p w14:paraId="005BEA40">
      <w:pPr>
        <w:spacing w:line="360" w:lineRule="auto"/>
        <w:ind w:firstLine="508" w:firstLineChars="200"/>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2</w:t>
      </w:r>
      <w:r>
        <w:rPr>
          <w:rFonts w:hint="eastAsia" w:ascii="宋体" w:hAnsi="宋体" w:eastAsia="宋体" w:cs="宋体"/>
          <w:color w:val="auto"/>
          <w:sz w:val="24"/>
          <w:highlight w:val="none"/>
        </w:rPr>
        <w:t>.1.3 响应性评审标准：见评标办法前附表。</w:t>
      </w:r>
    </w:p>
    <w:p w14:paraId="6D0E7E7D">
      <w:pPr>
        <w:spacing w:line="360" w:lineRule="auto"/>
        <w:ind w:firstLine="524" w:firstLineChars="200"/>
        <w:rPr>
          <w:rFonts w:hint="eastAsia" w:ascii="宋体" w:hAnsi="宋体" w:eastAsia="宋体" w:cs="宋体"/>
          <w:color w:val="auto"/>
          <w:sz w:val="24"/>
          <w:highlight w:val="none"/>
        </w:rPr>
      </w:pPr>
      <w:r>
        <w:rPr>
          <w:rFonts w:hint="eastAsia" w:ascii="宋体" w:hAnsi="宋体" w:eastAsia="宋体" w:cs="宋体"/>
          <w:color w:val="auto"/>
          <w:spacing w:val="11"/>
          <w:sz w:val="24"/>
          <w:highlight w:val="none"/>
        </w:rPr>
        <w:t>2</w:t>
      </w:r>
      <w:r>
        <w:rPr>
          <w:rFonts w:hint="eastAsia" w:ascii="宋体" w:hAnsi="宋体" w:eastAsia="宋体" w:cs="宋体"/>
          <w:color w:val="auto"/>
          <w:spacing w:val="8"/>
          <w:sz w:val="24"/>
          <w:highlight w:val="none"/>
        </w:rPr>
        <w:t>.2 分值构成与评分标准</w:t>
      </w:r>
    </w:p>
    <w:p w14:paraId="5E0F8C3F">
      <w:pPr>
        <w:spacing w:line="360" w:lineRule="auto"/>
        <w:ind w:firstLine="520" w:firstLineChars="200"/>
        <w:rPr>
          <w:rFonts w:hint="eastAsia" w:ascii="宋体" w:hAnsi="宋体" w:eastAsia="宋体" w:cs="宋体"/>
          <w:color w:val="auto"/>
          <w:sz w:val="24"/>
          <w:highlight w:val="none"/>
        </w:rPr>
      </w:pPr>
      <w:r>
        <w:rPr>
          <w:rFonts w:hint="eastAsia" w:ascii="宋体" w:hAnsi="宋体" w:eastAsia="宋体" w:cs="宋体"/>
          <w:color w:val="auto"/>
          <w:spacing w:val="10"/>
          <w:position w:val="17"/>
          <w:sz w:val="24"/>
          <w:highlight w:val="none"/>
        </w:rPr>
        <w:t>2</w:t>
      </w:r>
      <w:r>
        <w:rPr>
          <w:rFonts w:hint="eastAsia" w:ascii="宋体" w:hAnsi="宋体" w:eastAsia="宋体" w:cs="宋体"/>
          <w:color w:val="auto"/>
          <w:spacing w:val="7"/>
          <w:position w:val="17"/>
          <w:sz w:val="24"/>
          <w:highlight w:val="none"/>
        </w:rPr>
        <w:t>.</w:t>
      </w:r>
      <w:r>
        <w:rPr>
          <w:rFonts w:hint="eastAsia" w:ascii="宋体" w:hAnsi="宋体" w:eastAsia="宋体" w:cs="宋体"/>
          <w:color w:val="auto"/>
          <w:position w:val="17"/>
          <w:sz w:val="24"/>
          <w:highlight w:val="none"/>
        </w:rPr>
        <w:t>2.1 分值构成</w:t>
      </w:r>
    </w:p>
    <w:p w14:paraId="28086FE5">
      <w:pPr>
        <w:spacing w:line="360" w:lineRule="auto"/>
        <w:ind w:firstLine="520" w:firstLineChars="20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见</w:t>
      </w:r>
      <w:r>
        <w:rPr>
          <w:rFonts w:hint="eastAsia" w:ascii="宋体" w:hAnsi="宋体" w:eastAsia="宋体" w:cs="宋体"/>
          <w:color w:val="auto"/>
          <w:spacing w:val="7"/>
          <w:sz w:val="24"/>
          <w:highlight w:val="none"/>
        </w:rPr>
        <w:t>评标办法前附表。</w:t>
      </w:r>
    </w:p>
    <w:p w14:paraId="0AFCC1A8">
      <w:pPr>
        <w:spacing w:line="360" w:lineRule="auto"/>
        <w:ind w:firstLine="528" w:firstLineChars="200"/>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2</w:t>
      </w:r>
      <w:r>
        <w:rPr>
          <w:rFonts w:hint="eastAsia" w:ascii="宋体" w:hAnsi="宋体" w:eastAsia="宋体" w:cs="宋体"/>
          <w:color w:val="auto"/>
          <w:spacing w:val="9"/>
          <w:sz w:val="24"/>
          <w:highlight w:val="none"/>
        </w:rPr>
        <w:t>.</w:t>
      </w:r>
      <w:r>
        <w:rPr>
          <w:rFonts w:hint="eastAsia" w:ascii="宋体" w:hAnsi="宋体" w:eastAsia="宋体" w:cs="宋体"/>
          <w:color w:val="auto"/>
          <w:spacing w:val="6"/>
          <w:sz w:val="24"/>
          <w:highlight w:val="none"/>
        </w:rPr>
        <w:t>2.2 评标基准价计算</w:t>
      </w:r>
    </w:p>
    <w:p w14:paraId="2BDB40AC">
      <w:pPr>
        <w:spacing w:line="360" w:lineRule="auto"/>
        <w:ind w:firstLine="516" w:firstLineChars="200"/>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评标基准价计算方法：见评标办法前附表。</w:t>
      </w:r>
    </w:p>
    <w:p w14:paraId="244955E0">
      <w:pPr>
        <w:spacing w:line="360" w:lineRule="auto"/>
        <w:ind w:firstLine="520" w:firstLineChars="200"/>
        <w:rPr>
          <w:rFonts w:hint="eastAsia" w:ascii="宋体" w:hAnsi="宋体" w:eastAsia="宋体" w:cs="宋体"/>
          <w:color w:val="auto"/>
          <w:sz w:val="24"/>
          <w:highlight w:val="none"/>
        </w:rPr>
      </w:pPr>
      <w:r>
        <w:rPr>
          <w:rFonts w:hint="eastAsia" w:ascii="宋体" w:hAnsi="宋体" w:eastAsia="宋体" w:cs="宋体"/>
          <w:color w:val="auto"/>
          <w:spacing w:val="10"/>
          <w:position w:val="17"/>
          <w:sz w:val="24"/>
          <w:highlight w:val="none"/>
        </w:rPr>
        <w:t>2</w:t>
      </w:r>
      <w:r>
        <w:rPr>
          <w:rFonts w:hint="eastAsia" w:ascii="宋体" w:hAnsi="宋体" w:eastAsia="宋体" w:cs="宋体"/>
          <w:color w:val="auto"/>
          <w:spacing w:val="7"/>
          <w:position w:val="17"/>
          <w:sz w:val="24"/>
          <w:highlight w:val="none"/>
        </w:rPr>
        <w:t>.</w:t>
      </w:r>
      <w:r>
        <w:rPr>
          <w:rFonts w:hint="eastAsia" w:ascii="宋体" w:hAnsi="宋体" w:eastAsia="宋体" w:cs="宋体"/>
          <w:color w:val="auto"/>
          <w:position w:val="17"/>
          <w:sz w:val="24"/>
          <w:highlight w:val="none"/>
        </w:rPr>
        <w:t>2.3 评分标准</w:t>
      </w:r>
    </w:p>
    <w:p w14:paraId="10D2BA18">
      <w:pPr>
        <w:spacing w:line="360" w:lineRule="auto"/>
        <w:ind w:firstLine="520" w:firstLineChars="20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见</w:t>
      </w:r>
      <w:r>
        <w:rPr>
          <w:rFonts w:hint="eastAsia" w:ascii="宋体" w:hAnsi="宋体" w:eastAsia="宋体" w:cs="宋体"/>
          <w:color w:val="auto"/>
          <w:spacing w:val="7"/>
          <w:sz w:val="24"/>
          <w:highlight w:val="none"/>
        </w:rPr>
        <w:t>评标办法前附表。</w:t>
      </w:r>
    </w:p>
    <w:p w14:paraId="4AF47A73">
      <w:pPr>
        <w:spacing w:line="360" w:lineRule="auto"/>
        <w:ind w:firstLine="520" w:firstLineChars="20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3</w:t>
      </w:r>
      <w:r>
        <w:rPr>
          <w:rFonts w:hint="eastAsia" w:ascii="宋体" w:hAnsi="宋体" w:eastAsia="宋体" w:cs="宋体"/>
          <w:color w:val="auto"/>
          <w:spacing w:val="7"/>
          <w:sz w:val="24"/>
          <w:highlight w:val="none"/>
        </w:rPr>
        <w:t>、评标程序</w:t>
      </w:r>
    </w:p>
    <w:p w14:paraId="01FDE563">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3</w:t>
      </w:r>
      <w:r>
        <w:rPr>
          <w:rFonts w:hint="eastAsia" w:ascii="宋体" w:hAnsi="宋体" w:eastAsia="宋体" w:cs="宋体"/>
          <w:color w:val="auto"/>
          <w:spacing w:val="6"/>
          <w:sz w:val="24"/>
          <w:highlight w:val="none"/>
        </w:rPr>
        <w:t>.1 初步评审</w:t>
      </w:r>
    </w:p>
    <w:p w14:paraId="68995D8B">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3</w:t>
      </w:r>
      <w:r>
        <w:rPr>
          <w:rFonts w:hint="eastAsia" w:ascii="宋体" w:hAnsi="宋体" w:eastAsia="宋体" w:cs="宋体"/>
          <w:color w:val="auto"/>
          <w:spacing w:val="4"/>
          <w:sz w:val="24"/>
          <w:highlight w:val="none"/>
        </w:rPr>
        <w:t>.1.1 评标委员会可以要求投标人提交第二章“投标须知前附表”第 1.3.1 项规</w:t>
      </w:r>
      <w:r>
        <w:rPr>
          <w:rFonts w:hint="eastAsia" w:ascii="宋体" w:hAnsi="宋体" w:eastAsia="宋体" w:cs="宋体"/>
          <w:color w:val="auto"/>
          <w:sz w:val="24"/>
          <w:highlight w:val="none"/>
        </w:rPr>
        <w:t>定的有关证明和证件，以便核验。评标委员会依据本章第 2.1 款规定的标准对投标文</w:t>
      </w:r>
      <w:r>
        <w:rPr>
          <w:rFonts w:hint="eastAsia" w:ascii="宋体" w:hAnsi="宋体" w:eastAsia="宋体" w:cs="宋体"/>
          <w:color w:val="auto"/>
          <w:spacing w:val="18"/>
          <w:sz w:val="24"/>
          <w:highlight w:val="none"/>
        </w:rPr>
        <w:t>件</w:t>
      </w:r>
      <w:r>
        <w:rPr>
          <w:rFonts w:hint="eastAsia" w:ascii="宋体" w:hAnsi="宋体" w:eastAsia="宋体" w:cs="宋体"/>
          <w:color w:val="auto"/>
          <w:spacing w:val="14"/>
          <w:sz w:val="24"/>
          <w:highlight w:val="none"/>
        </w:rPr>
        <w:t>进</w:t>
      </w:r>
      <w:r>
        <w:rPr>
          <w:rFonts w:hint="eastAsia" w:ascii="宋体" w:hAnsi="宋体" w:eastAsia="宋体" w:cs="宋体"/>
          <w:color w:val="auto"/>
          <w:spacing w:val="9"/>
          <w:sz w:val="24"/>
          <w:highlight w:val="none"/>
        </w:rPr>
        <w:t>行初步评审。有一项不符合评审标准的，评标委员会应当否决其投标。</w:t>
      </w:r>
    </w:p>
    <w:p w14:paraId="2773EBF4">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3.1.2 投标人有以下情形之一的，其否决其投标</w:t>
      </w:r>
      <w:r>
        <w:rPr>
          <w:rFonts w:hint="eastAsia" w:ascii="宋体" w:hAnsi="宋体" w:eastAsia="宋体" w:cs="宋体"/>
          <w:color w:val="auto"/>
          <w:spacing w:val="3"/>
          <w:sz w:val="24"/>
          <w:highlight w:val="none"/>
        </w:rPr>
        <w:t>：</w:t>
      </w:r>
    </w:p>
    <w:p w14:paraId="099C4F4C">
      <w:pPr>
        <w:spacing w:line="360" w:lineRule="auto"/>
        <w:ind w:firstLine="532" w:firstLineChars="200"/>
        <w:rPr>
          <w:rFonts w:hint="eastAsia" w:ascii="宋体" w:hAnsi="宋体" w:eastAsia="宋体" w:cs="宋体"/>
          <w:color w:val="auto"/>
          <w:sz w:val="24"/>
          <w:highlight w:val="none"/>
        </w:rPr>
      </w:pPr>
      <w:r>
        <w:rPr>
          <w:rFonts w:hint="eastAsia" w:ascii="宋体" w:hAnsi="宋体" w:eastAsia="宋体" w:cs="宋体"/>
          <w:color w:val="auto"/>
          <w:spacing w:val="13"/>
          <w:sz w:val="24"/>
          <w:highlight w:val="none"/>
        </w:rPr>
        <w:t>(1) 串通投标或弄虚作假或有其他违法行为的；</w:t>
      </w:r>
    </w:p>
    <w:p w14:paraId="269294BE">
      <w:pPr>
        <w:spacing w:line="360" w:lineRule="auto"/>
        <w:ind w:firstLine="532" w:firstLineChars="200"/>
        <w:rPr>
          <w:rFonts w:hint="eastAsia" w:ascii="宋体" w:hAnsi="宋体" w:eastAsia="宋体" w:cs="宋体"/>
          <w:color w:val="auto"/>
          <w:sz w:val="24"/>
          <w:highlight w:val="none"/>
        </w:rPr>
      </w:pPr>
      <w:r>
        <w:rPr>
          <w:rFonts w:hint="eastAsia" w:ascii="宋体" w:hAnsi="宋体" w:eastAsia="宋体" w:cs="宋体"/>
          <w:color w:val="auto"/>
          <w:spacing w:val="13"/>
          <w:sz w:val="24"/>
          <w:highlight w:val="none"/>
        </w:rPr>
        <w:t>(2) 不按评标委员会要求澄清、说明或补正的。</w:t>
      </w:r>
    </w:p>
    <w:p w14:paraId="5AA6B6F6">
      <w:pPr>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3.1.3 投标报价有算术错误的，评标委员会按以下原则对投标报价进行修正，修正的价格经投标人书面确认后具有约束力。投标人不接受修正价格的，评标委员会应当否决其投标。</w:t>
      </w:r>
    </w:p>
    <w:p w14:paraId="0E596DFF">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(1</w:t>
      </w:r>
      <w:r>
        <w:rPr>
          <w:rFonts w:hint="eastAsia" w:ascii="宋体" w:hAnsi="宋体" w:eastAsia="宋体" w:cs="宋体"/>
          <w:color w:val="auto"/>
          <w:spacing w:val="7"/>
          <w:sz w:val="24"/>
          <w:highlight w:val="none"/>
        </w:rPr>
        <w:t>) 投标文件中的大写金额与小写金额不一致的，以大写金额为准；</w:t>
      </w:r>
    </w:p>
    <w:p w14:paraId="5CBE4CAA">
      <w:pPr>
        <w:spacing w:line="360" w:lineRule="auto"/>
        <w:ind w:firstLine="508" w:firstLineChars="200"/>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(2) 总价金额与依据单价计算出的结果不一致的，以单价金额为准修正总价，</w:t>
      </w:r>
      <w:r>
        <w:rPr>
          <w:rFonts w:hint="eastAsia" w:ascii="宋体" w:hAnsi="宋体" w:eastAsia="宋体" w:cs="宋体"/>
          <w:color w:val="auto"/>
          <w:sz w:val="24"/>
          <w:highlight w:val="none"/>
        </w:rPr>
        <w:t>但</w:t>
      </w:r>
      <w:r>
        <w:rPr>
          <w:rFonts w:hint="eastAsia" w:ascii="宋体" w:hAnsi="宋体" w:eastAsia="宋体" w:cs="宋体"/>
          <w:color w:val="auto"/>
          <w:spacing w:val="16"/>
          <w:sz w:val="24"/>
          <w:highlight w:val="none"/>
        </w:rPr>
        <w:t>单</w:t>
      </w:r>
      <w:r>
        <w:rPr>
          <w:rFonts w:hint="eastAsia" w:ascii="宋体" w:hAnsi="宋体" w:eastAsia="宋体" w:cs="宋体"/>
          <w:color w:val="auto"/>
          <w:spacing w:val="10"/>
          <w:sz w:val="24"/>
          <w:highlight w:val="none"/>
        </w:rPr>
        <w:t>价</w:t>
      </w:r>
      <w:r>
        <w:rPr>
          <w:rFonts w:hint="eastAsia" w:ascii="宋体" w:hAnsi="宋体" w:eastAsia="宋体" w:cs="宋体"/>
          <w:color w:val="auto"/>
          <w:spacing w:val="8"/>
          <w:sz w:val="24"/>
          <w:highlight w:val="none"/>
        </w:rPr>
        <w:t>金额小数点有明显错误的除外。</w:t>
      </w:r>
    </w:p>
    <w:p w14:paraId="5E90C0F9">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3</w:t>
      </w:r>
      <w:r>
        <w:rPr>
          <w:rFonts w:hint="eastAsia" w:ascii="宋体" w:hAnsi="宋体" w:eastAsia="宋体" w:cs="宋体"/>
          <w:color w:val="auto"/>
          <w:spacing w:val="6"/>
          <w:sz w:val="24"/>
          <w:highlight w:val="none"/>
        </w:rPr>
        <w:t>.2 详细评审</w:t>
      </w:r>
    </w:p>
    <w:p w14:paraId="22183850">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3.</w:t>
      </w:r>
      <w:r>
        <w:rPr>
          <w:rFonts w:hint="eastAsia" w:ascii="宋体" w:hAnsi="宋体" w:eastAsia="宋体" w:cs="宋体"/>
          <w:color w:val="auto"/>
          <w:spacing w:val="7"/>
          <w:sz w:val="24"/>
          <w:highlight w:val="none"/>
        </w:rPr>
        <w:t>2</w:t>
      </w:r>
      <w:r>
        <w:rPr>
          <w:rFonts w:hint="eastAsia" w:ascii="宋体" w:hAnsi="宋体" w:eastAsia="宋体" w:cs="宋体"/>
          <w:color w:val="auto"/>
          <w:spacing w:val="4"/>
          <w:sz w:val="24"/>
          <w:highlight w:val="none"/>
        </w:rPr>
        <w:t>.1 评标委员会按本章详细评审表规定的量化因素和分值进行打分，并计算出综</w:t>
      </w:r>
      <w:r>
        <w:rPr>
          <w:rFonts w:hint="eastAsia" w:ascii="宋体" w:hAnsi="宋体" w:eastAsia="宋体" w:cs="宋体"/>
          <w:color w:val="auto"/>
          <w:spacing w:val="9"/>
          <w:sz w:val="24"/>
          <w:highlight w:val="none"/>
        </w:rPr>
        <w:t>合</w:t>
      </w:r>
      <w:r>
        <w:rPr>
          <w:rFonts w:hint="eastAsia" w:ascii="宋体" w:hAnsi="宋体" w:eastAsia="宋体" w:cs="宋体"/>
          <w:color w:val="auto"/>
          <w:spacing w:val="6"/>
          <w:sz w:val="24"/>
          <w:highlight w:val="none"/>
        </w:rPr>
        <w:t>评估得分。</w:t>
      </w:r>
    </w:p>
    <w:p w14:paraId="44051220">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3.</w:t>
      </w:r>
      <w:r>
        <w:rPr>
          <w:rFonts w:hint="eastAsia" w:ascii="宋体" w:hAnsi="宋体" w:eastAsia="宋体" w:cs="宋体"/>
          <w:color w:val="auto"/>
          <w:spacing w:val="10"/>
          <w:sz w:val="24"/>
          <w:highlight w:val="none"/>
        </w:rPr>
        <w:t>2</w:t>
      </w:r>
      <w:r>
        <w:rPr>
          <w:rFonts w:hint="eastAsia" w:ascii="宋体" w:hAnsi="宋体" w:eastAsia="宋体" w:cs="宋体"/>
          <w:color w:val="auto"/>
          <w:spacing w:val="7"/>
          <w:sz w:val="24"/>
          <w:highlight w:val="none"/>
        </w:rPr>
        <w:t>.2 评分分值计算保留小数点后两位，小数点后第三位“四舍五入” (投标人</w:t>
      </w:r>
      <w:r>
        <w:rPr>
          <w:rFonts w:hint="eastAsia" w:ascii="宋体" w:hAnsi="宋体" w:eastAsia="宋体" w:cs="宋体"/>
          <w:color w:val="auto"/>
          <w:sz w:val="24"/>
          <w:highlight w:val="none"/>
        </w:rPr>
        <w:t xml:space="preserve"> </w:t>
      </w:r>
      <w:r>
        <w:rPr>
          <w:rFonts w:hint="eastAsia" w:ascii="宋体" w:hAnsi="宋体" w:eastAsia="宋体" w:cs="宋体"/>
          <w:color w:val="auto"/>
          <w:spacing w:val="16"/>
          <w:sz w:val="24"/>
          <w:highlight w:val="none"/>
        </w:rPr>
        <w:t>最</w:t>
      </w:r>
      <w:r>
        <w:rPr>
          <w:rFonts w:hint="eastAsia" w:ascii="宋体" w:hAnsi="宋体" w:eastAsia="宋体" w:cs="宋体"/>
          <w:color w:val="auto"/>
          <w:spacing w:val="11"/>
          <w:sz w:val="24"/>
          <w:highlight w:val="none"/>
        </w:rPr>
        <w:t>终</w:t>
      </w:r>
      <w:r>
        <w:rPr>
          <w:rFonts w:hint="eastAsia" w:ascii="宋体" w:hAnsi="宋体" w:eastAsia="宋体" w:cs="宋体"/>
          <w:color w:val="auto"/>
          <w:spacing w:val="8"/>
          <w:sz w:val="24"/>
          <w:highlight w:val="none"/>
        </w:rPr>
        <w:t>得分为：所有评委得分的算术平均值) 。</w:t>
      </w:r>
    </w:p>
    <w:p w14:paraId="6D03C289">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3.2</w:t>
      </w:r>
      <w:r>
        <w:rPr>
          <w:rFonts w:hint="eastAsia" w:ascii="宋体" w:hAnsi="宋体" w:eastAsia="宋体" w:cs="宋体"/>
          <w:color w:val="auto"/>
          <w:spacing w:val="10"/>
          <w:sz w:val="24"/>
          <w:highlight w:val="none"/>
        </w:rPr>
        <w:t>.</w:t>
      </w:r>
      <w:r>
        <w:rPr>
          <w:rFonts w:hint="eastAsia" w:ascii="宋体" w:hAnsi="宋体" w:eastAsia="宋体" w:cs="宋体"/>
          <w:color w:val="auto"/>
          <w:spacing w:val="7"/>
          <w:sz w:val="24"/>
          <w:highlight w:val="none"/>
        </w:rPr>
        <w:t>3 评标委员会发现投标人的报价明显低于其他投标报价，使得其投标报价可</w:t>
      </w:r>
      <w:r>
        <w:rPr>
          <w:rFonts w:hint="eastAsia" w:ascii="宋体" w:hAnsi="宋体" w:eastAsia="宋体" w:cs="宋体"/>
          <w:color w:val="auto"/>
          <w:sz w:val="24"/>
          <w:highlight w:val="none"/>
        </w:rPr>
        <w:t xml:space="preserve"> </w:t>
      </w:r>
      <w:r>
        <w:rPr>
          <w:rFonts w:hint="eastAsia" w:ascii="宋体" w:hAnsi="宋体" w:eastAsia="宋体" w:cs="宋体"/>
          <w:color w:val="auto"/>
          <w:spacing w:val="16"/>
          <w:sz w:val="24"/>
          <w:highlight w:val="none"/>
        </w:rPr>
        <w:t>能低</w:t>
      </w:r>
      <w:r>
        <w:rPr>
          <w:rFonts w:hint="eastAsia" w:ascii="宋体" w:hAnsi="宋体" w:eastAsia="宋体" w:cs="宋体"/>
          <w:color w:val="auto"/>
          <w:spacing w:val="10"/>
          <w:sz w:val="24"/>
          <w:highlight w:val="none"/>
        </w:rPr>
        <w:t>于</w:t>
      </w:r>
      <w:r>
        <w:rPr>
          <w:rFonts w:hint="eastAsia" w:ascii="宋体" w:hAnsi="宋体" w:eastAsia="宋体" w:cs="宋体"/>
          <w:color w:val="auto"/>
          <w:spacing w:val="8"/>
          <w:sz w:val="24"/>
          <w:highlight w:val="none"/>
        </w:rPr>
        <w:t>其个别成本的，应当要求该投标人作出书面说明并提供相应的证明材料。投标</w:t>
      </w:r>
      <w:r>
        <w:rPr>
          <w:rFonts w:hint="eastAsia" w:ascii="宋体" w:hAnsi="宋体" w:eastAsia="宋体" w:cs="宋体"/>
          <w:color w:val="auto"/>
          <w:sz w:val="24"/>
          <w:highlight w:val="none"/>
        </w:rPr>
        <w:t xml:space="preserve"> </w:t>
      </w:r>
      <w:r>
        <w:rPr>
          <w:rFonts w:hint="eastAsia" w:ascii="宋体" w:hAnsi="宋体" w:eastAsia="宋体" w:cs="宋体"/>
          <w:color w:val="auto"/>
          <w:spacing w:val="16"/>
          <w:sz w:val="24"/>
          <w:highlight w:val="none"/>
        </w:rPr>
        <w:t>人不</w:t>
      </w:r>
      <w:r>
        <w:rPr>
          <w:rFonts w:hint="eastAsia" w:ascii="宋体" w:hAnsi="宋体" w:eastAsia="宋体" w:cs="宋体"/>
          <w:color w:val="auto"/>
          <w:spacing w:val="10"/>
          <w:sz w:val="24"/>
          <w:highlight w:val="none"/>
        </w:rPr>
        <w:t>能</w:t>
      </w:r>
      <w:r>
        <w:rPr>
          <w:rFonts w:hint="eastAsia" w:ascii="宋体" w:hAnsi="宋体" w:eastAsia="宋体" w:cs="宋体"/>
          <w:color w:val="auto"/>
          <w:spacing w:val="8"/>
          <w:sz w:val="24"/>
          <w:highlight w:val="none"/>
        </w:rPr>
        <w:t>合理说明或者不能提供相应证明材料的，由评标委员会认定该投标人以低于成</w:t>
      </w:r>
      <w:r>
        <w:rPr>
          <w:rFonts w:hint="eastAsia" w:ascii="宋体" w:hAnsi="宋体" w:eastAsia="宋体" w:cs="宋体"/>
          <w:color w:val="auto"/>
          <w:sz w:val="24"/>
          <w:highlight w:val="none"/>
        </w:rPr>
        <w:t xml:space="preserve"> </w:t>
      </w:r>
      <w:r>
        <w:rPr>
          <w:rFonts w:hint="eastAsia" w:ascii="宋体" w:hAnsi="宋体" w:eastAsia="宋体" w:cs="宋体"/>
          <w:color w:val="auto"/>
          <w:spacing w:val="11"/>
          <w:sz w:val="24"/>
          <w:highlight w:val="none"/>
        </w:rPr>
        <w:t>本</w:t>
      </w:r>
      <w:r>
        <w:rPr>
          <w:rFonts w:hint="eastAsia" w:ascii="宋体" w:hAnsi="宋体" w:eastAsia="宋体" w:cs="宋体"/>
          <w:color w:val="auto"/>
          <w:spacing w:val="8"/>
          <w:sz w:val="24"/>
          <w:highlight w:val="none"/>
        </w:rPr>
        <w:t>报价竞标，否决其投标。</w:t>
      </w:r>
    </w:p>
    <w:p w14:paraId="396E1113">
      <w:pPr>
        <w:spacing w:line="360" w:lineRule="auto"/>
        <w:ind w:firstLine="532" w:firstLineChars="200"/>
        <w:rPr>
          <w:rFonts w:hint="eastAsia" w:ascii="宋体" w:hAnsi="宋体" w:eastAsia="宋体" w:cs="宋体"/>
          <w:color w:val="auto"/>
          <w:sz w:val="24"/>
          <w:highlight w:val="none"/>
        </w:rPr>
      </w:pPr>
      <w:r>
        <w:rPr>
          <w:rFonts w:hint="eastAsia" w:ascii="宋体" w:hAnsi="宋体" w:eastAsia="宋体" w:cs="宋体"/>
          <w:color w:val="auto"/>
          <w:spacing w:val="13"/>
          <w:sz w:val="24"/>
          <w:highlight w:val="none"/>
        </w:rPr>
        <w:t>3</w:t>
      </w:r>
      <w:r>
        <w:rPr>
          <w:rFonts w:hint="eastAsia" w:ascii="宋体" w:hAnsi="宋体" w:eastAsia="宋体" w:cs="宋体"/>
          <w:color w:val="auto"/>
          <w:spacing w:val="8"/>
          <w:sz w:val="24"/>
          <w:highlight w:val="none"/>
        </w:rPr>
        <w:t>.3 投标文件的澄清和补正</w:t>
      </w:r>
    </w:p>
    <w:p w14:paraId="12BB7D0D">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3.3</w:t>
      </w:r>
      <w:r>
        <w:rPr>
          <w:rFonts w:hint="eastAsia" w:ascii="宋体" w:hAnsi="宋体" w:eastAsia="宋体" w:cs="宋体"/>
          <w:color w:val="auto"/>
          <w:spacing w:val="10"/>
          <w:sz w:val="24"/>
          <w:highlight w:val="none"/>
        </w:rPr>
        <w:t>.</w:t>
      </w:r>
      <w:r>
        <w:rPr>
          <w:rFonts w:hint="eastAsia" w:ascii="宋体" w:hAnsi="宋体" w:eastAsia="宋体" w:cs="宋体"/>
          <w:color w:val="auto"/>
          <w:spacing w:val="7"/>
          <w:sz w:val="24"/>
          <w:highlight w:val="none"/>
        </w:rPr>
        <w:t>1 在评标过程中，评标委员会可以书面形式要求投标人对所提交投标文件中</w:t>
      </w:r>
      <w:r>
        <w:rPr>
          <w:rFonts w:hint="eastAsia" w:ascii="宋体" w:hAnsi="宋体" w:eastAsia="宋体" w:cs="宋体"/>
          <w:color w:val="auto"/>
          <w:spacing w:val="16"/>
          <w:sz w:val="24"/>
          <w:highlight w:val="none"/>
        </w:rPr>
        <w:t>不明</w:t>
      </w:r>
      <w:r>
        <w:rPr>
          <w:rFonts w:hint="eastAsia" w:ascii="宋体" w:hAnsi="宋体" w:eastAsia="宋体" w:cs="宋体"/>
          <w:color w:val="auto"/>
          <w:spacing w:val="10"/>
          <w:sz w:val="24"/>
          <w:highlight w:val="none"/>
        </w:rPr>
        <w:t>确</w:t>
      </w:r>
      <w:r>
        <w:rPr>
          <w:rFonts w:hint="eastAsia" w:ascii="宋体" w:hAnsi="宋体" w:eastAsia="宋体" w:cs="宋体"/>
          <w:color w:val="auto"/>
          <w:spacing w:val="8"/>
          <w:sz w:val="24"/>
          <w:highlight w:val="none"/>
        </w:rPr>
        <w:t>的内容进行书面澄清或说明，或者对细微偏差进行补正。评标委员会不接受投</w:t>
      </w:r>
      <w:r>
        <w:rPr>
          <w:rFonts w:hint="eastAsia" w:ascii="宋体" w:hAnsi="宋体" w:eastAsia="宋体" w:cs="宋体"/>
          <w:color w:val="auto"/>
          <w:sz w:val="24"/>
          <w:highlight w:val="none"/>
        </w:rPr>
        <w:t xml:space="preserve"> </w:t>
      </w:r>
      <w:r>
        <w:rPr>
          <w:rFonts w:hint="eastAsia" w:ascii="宋体" w:hAnsi="宋体" w:eastAsia="宋体" w:cs="宋体"/>
          <w:color w:val="auto"/>
          <w:spacing w:val="16"/>
          <w:sz w:val="24"/>
          <w:highlight w:val="none"/>
        </w:rPr>
        <w:t>标</w:t>
      </w:r>
      <w:r>
        <w:rPr>
          <w:rFonts w:hint="eastAsia" w:ascii="宋体" w:hAnsi="宋体" w:eastAsia="宋体" w:cs="宋体"/>
          <w:color w:val="auto"/>
          <w:spacing w:val="11"/>
          <w:sz w:val="24"/>
          <w:highlight w:val="none"/>
        </w:rPr>
        <w:t>人</w:t>
      </w:r>
      <w:r>
        <w:rPr>
          <w:rFonts w:hint="eastAsia" w:ascii="宋体" w:hAnsi="宋体" w:eastAsia="宋体" w:cs="宋体"/>
          <w:color w:val="auto"/>
          <w:spacing w:val="8"/>
          <w:sz w:val="24"/>
          <w:highlight w:val="none"/>
        </w:rPr>
        <w:t>主动提出的澄清、说明或补正。</w:t>
      </w:r>
    </w:p>
    <w:p w14:paraId="68EA6EA8">
      <w:pPr>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3.3.2 澄清、说明和补正不得改变投标文件的实质性内容(算术性错误修正的除外)。投标人的书面澄清、说明和补正属于投标文件的组成部分。</w:t>
      </w:r>
    </w:p>
    <w:p w14:paraId="4B96E9C5">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3.3</w:t>
      </w:r>
      <w:r>
        <w:rPr>
          <w:rFonts w:hint="eastAsia" w:ascii="宋体" w:hAnsi="宋体" w:eastAsia="宋体" w:cs="宋体"/>
          <w:color w:val="auto"/>
          <w:spacing w:val="10"/>
          <w:sz w:val="24"/>
          <w:highlight w:val="none"/>
        </w:rPr>
        <w:t>.</w:t>
      </w:r>
      <w:r>
        <w:rPr>
          <w:rFonts w:hint="eastAsia" w:ascii="宋体" w:hAnsi="宋体" w:eastAsia="宋体" w:cs="宋体"/>
          <w:color w:val="auto"/>
          <w:spacing w:val="7"/>
          <w:sz w:val="24"/>
          <w:highlight w:val="none"/>
        </w:rPr>
        <w:t>3 评标委员会对投标人提交的澄清、说明或补正有疑问的，可以要求投标人</w:t>
      </w:r>
      <w:r>
        <w:rPr>
          <w:rFonts w:hint="eastAsia" w:ascii="宋体" w:hAnsi="宋体" w:eastAsia="宋体" w:cs="宋体"/>
          <w:color w:val="auto"/>
          <w:spacing w:val="16"/>
          <w:sz w:val="24"/>
          <w:highlight w:val="none"/>
        </w:rPr>
        <w:t>进</w:t>
      </w:r>
      <w:r>
        <w:rPr>
          <w:rFonts w:hint="eastAsia" w:ascii="宋体" w:hAnsi="宋体" w:eastAsia="宋体" w:cs="宋体"/>
          <w:color w:val="auto"/>
          <w:spacing w:val="9"/>
          <w:sz w:val="24"/>
          <w:highlight w:val="none"/>
        </w:rPr>
        <w:t>一步澄清、说明或补正，直至满足评标委员会的要求。</w:t>
      </w:r>
    </w:p>
    <w:p w14:paraId="13B1D0B5">
      <w:pPr>
        <w:spacing w:line="360" w:lineRule="auto"/>
        <w:ind w:firstLine="512" w:firstLineChars="200"/>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3</w:t>
      </w:r>
      <w:r>
        <w:rPr>
          <w:rFonts w:hint="eastAsia" w:ascii="宋体" w:hAnsi="宋体" w:eastAsia="宋体" w:cs="宋体"/>
          <w:color w:val="auto"/>
          <w:spacing w:val="6"/>
          <w:sz w:val="24"/>
          <w:highlight w:val="none"/>
        </w:rPr>
        <w:t>.4 评标结果</w:t>
      </w:r>
    </w:p>
    <w:p w14:paraId="230B8440">
      <w:pPr>
        <w:spacing w:line="360" w:lineRule="auto"/>
        <w:ind w:firstLine="536" w:firstLineChars="200"/>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3.4</w:t>
      </w:r>
      <w:r>
        <w:rPr>
          <w:rFonts w:hint="eastAsia" w:ascii="宋体" w:hAnsi="宋体" w:eastAsia="宋体" w:cs="宋体"/>
          <w:color w:val="auto"/>
          <w:spacing w:val="10"/>
          <w:sz w:val="24"/>
          <w:highlight w:val="none"/>
        </w:rPr>
        <w:t>.</w:t>
      </w:r>
      <w:r>
        <w:rPr>
          <w:rFonts w:hint="eastAsia" w:ascii="宋体" w:hAnsi="宋体" w:eastAsia="宋体" w:cs="宋体"/>
          <w:color w:val="auto"/>
          <w:spacing w:val="7"/>
          <w:sz w:val="24"/>
          <w:highlight w:val="none"/>
        </w:rPr>
        <w:t>1 除第二章“投标人须知”前附表授权直接确定中标人外，评标委员会按照</w:t>
      </w:r>
      <w:r>
        <w:rPr>
          <w:rFonts w:hint="eastAsia" w:ascii="宋体" w:hAnsi="宋体" w:eastAsia="宋体" w:cs="宋体"/>
          <w:color w:val="auto"/>
          <w:sz w:val="24"/>
          <w:highlight w:val="none"/>
        </w:rPr>
        <w:t xml:space="preserve"> </w:t>
      </w:r>
      <w:r>
        <w:rPr>
          <w:rFonts w:hint="eastAsia" w:ascii="宋体" w:hAnsi="宋体" w:eastAsia="宋体" w:cs="宋体"/>
          <w:color w:val="auto"/>
          <w:spacing w:val="16"/>
          <w:sz w:val="24"/>
          <w:highlight w:val="none"/>
        </w:rPr>
        <w:t>得</w:t>
      </w:r>
      <w:r>
        <w:rPr>
          <w:rFonts w:hint="eastAsia" w:ascii="宋体" w:hAnsi="宋体" w:eastAsia="宋体" w:cs="宋体"/>
          <w:color w:val="auto"/>
          <w:spacing w:val="11"/>
          <w:sz w:val="24"/>
          <w:highlight w:val="none"/>
        </w:rPr>
        <w:t>分</w:t>
      </w:r>
      <w:r>
        <w:rPr>
          <w:rFonts w:hint="eastAsia" w:ascii="宋体" w:hAnsi="宋体" w:eastAsia="宋体" w:cs="宋体"/>
          <w:color w:val="auto"/>
          <w:spacing w:val="8"/>
          <w:sz w:val="24"/>
          <w:highlight w:val="none"/>
        </w:rPr>
        <w:t>高到低的顺序推荐中标候选人。</w:t>
      </w:r>
    </w:p>
    <w:p w14:paraId="2DAD22D0">
      <w:pPr>
        <w:spacing w:line="360" w:lineRule="auto"/>
        <w:ind w:firstLine="544" w:firstLineChars="200"/>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3</w:t>
      </w:r>
      <w:r>
        <w:rPr>
          <w:rFonts w:hint="eastAsia" w:ascii="宋体" w:hAnsi="宋体" w:eastAsia="宋体" w:cs="宋体"/>
          <w:color w:val="auto"/>
          <w:spacing w:val="11"/>
          <w:sz w:val="24"/>
          <w:highlight w:val="none"/>
        </w:rPr>
        <w:t>.</w:t>
      </w:r>
      <w:r>
        <w:rPr>
          <w:rFonts w:hint="eastAsia" w:ascii="宋体" w:hAnsi="宋体" w:eastAsia="宋体" w:cs="宋体"/>
          <w:color w:val="auto"/>
          <w:spacing w:val="8"/>
          <w:sz w:val="24"/>
          <w:highlight w:val="none"/>
        </w:rPr>
        <w:t>4.2 评标委员会完成评标后，由应当向采购人提交书面评标报告。</w:t>
      </w:r>
    </w:p>
    <w:p w14:paraId="78478AEE">
      <w:pPr>
        <w:rPr>
          <w:rFonts w:hint="eastAsia" w:ascii="宋体" w:hAnsi="宋体" w:eastAsia="宋体" w:cs="宋体"/>
          <w:color w:val="auto"/>
          <w:highlight w:val="none"/>
        </w:rPr>
      </w:pPr>
    </w:p>
    <w:p w14:paraId="0786583B">
      <w:pPr>
        <w:pStyle w:val="4"/>
        <w:numPr>
          <w:ilvl w:val="0"/>
          <w:numId w:val="1"/>
        </w:numPr>
        <w:spacing w:before="100" w:after="100" w:line="440" w:lineRule="exact"/>
        <w:jc w:val="center"/>
        <w:rPr>
          <w:rFonts w:hint="eastAsia" w:ascii="宋体" w:hAnsi="宋体" w:eastAsia="宋体" w:cs="宋体"/>
          <w:color w:val="auto"/>
          <w:sz w:val="36"/>
          <w:szCs w:val="36"/>
          <w:highlight w:val="none"/>
        </w:rPr>
      </w:pPr>
      <w:bookmarkStart w:id="155" w:name="_Toc6929019"/>
      <w:bookmarkStart w:id="156" w:name="_Toc142476147"/>
      <w:bookmarkStart w:id="157" w:name="_Toc16190"/>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合同条款及格式</w:t>
      </w:r>
      <w:bookmarkEnd w:id="155"/>
      <w:bookmarkEnd w:id="156"/>
      <w:bookmarkEnd w:id="157"/>
    </w:p>
    <w:p w14:paraId="626ACE07">
      <w:pPr>
        <w:pStyle w:val="2"/>
        <w:rPr>
          <w:rFonts w:hint="eastAsia" w:ascii="宋体" w:hAnsi="宋体" w:eastAsia="宋体" w:cs="宋体"/>
          <w:color w:val="auto"/>
          <w:sz w:val="16"/>
          <w:szCs w:val="28"/>
          <w:highlight w:val="none"/>
        </w:rPr>
      </w:pPr>
      <w:bookmarkStart w:id="158" w:name="_Toc485050185"/>
      <w:bookmarkEnd w:id="158"/>
      <w:bookmarkStart w:id="159" w:name="_Toc459299238"/>
      <w:bookmarkEnd w:id="159"/>
      <w:bookmarkStart w:id="160" w:name="_Toc461117249"/>
      <w:bookmarkEnd w:id="160"/>
      <w:bookmarkStart w:id="161" w:name="_Toc459299184"/>
      <w:bookmarkEnd w:id="161"/>
      <w:bookmarkStart w:id="162" w:name="_Toc6929020"/>
    </w:p>
    <w:p w14:paraId="6CD03BA5">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合同主要条款：</w:t>
      </w:r>
      <w:r>
        <w:rPr>
          <w:rFonts w:hint="eastAsia" w:ascii="宋体" w:hAnsi="宋体" w:eastAsia="宋体" w:cs="宋体"/>
          <w:color w:val="auto"/>
          <w:sz w:val="24"/>
          <w:szCs w:val="24"/>
          <w:highlight w:val="none"/>
        </w:rPr>
        <w:t>以实际签订合同为准</w:t>
      </w:r>
    </w:p>
    <w:p w14:paraId="0B888786">
      <w:pPr>
        <w:jc w:val="center"/>
        <w:rPr>
          <w:rFonts w:hint="eastAsia" w:ascii="宋体" w:hAnsi="宋体" w:eastAsia="宋体" w:cs="宋体"/>
          <w:b/>
          <w:bCs/>
          <w:color w:val="auto"/>
          <w:sz w:val="36"/>
          <w:szCs w:val="36"/>
          <w:highlight w:val="none"/>
          <w:lang w:val="en-US" w:eastAsia="zh-CN"/>
        </w:rPr>
      </w:pPr>
    </w:p>
    <w:p w14:paraId="2AD09362">
      <w:pPr>
        <w:jc w:val="center"/>
        <w:rPr>
          <w:rFonts w:hint="eastAsia" w:ascii="宋体" w:hAnsi="宋体" w:eastAsia="宋体" w:cs="宋体"/>
          <w:b/>
          <w:bCs/>
          <w:color w:val="auto"/>
          <w:sz w:val="36"/>
          <w:szCs w:val="36"/>
          <w:highlight w:val="none"/>
          <w:lang w:val="en-US" w:eastAsia="zh-CN"/>
        </w:rPr>
      </w:pPr>
    </w:p>
    <w:p w14:paraId="6AC63A07">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国有鲁山林场森林可持续经营项目</w:t>
      </w:r>
      <w:r>
        <w:rPr>
          <w:rFonts w:hint="eastAsia" w:ascii="宋体" w:hAnsi="宋体" w:eastAsia="宋体" w:cs="宋体"/>
          <w:b/>
          <w:bCs/>
          <w:color w:val="auto"/>
          <w:sz w:val="36"/>
          <w:szCs w:val="36"/>
          <w:highlight w:val="none"/>
        </w:rPr>
        <w:t>施工合同</w:t>
      </w:r>
    </w:p>
    <w:p w14:paraId="3F97C5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9EAB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甲方（招标方）：</w:t>
      </w:r>
    </w:p>
    <w:p w14:paraId="3B88F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地址：[甲方单位地址]</w:t>
      </w:r>
    </w:p>
    <w:p w14:paraId="2D916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联系方式：[甲方联系电话]</w:t>
      </w:r>
    </w:p>
    <w:p w14:paraId="18838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40396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乙方（中标方）：</w:t>
      </w:r>
    </w:p>
    <w:p w14:paraId="67BB2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地址：[乙方单位地址]</w:t>
      </w:r>
    </w:p>
    <w:p w14:paraId="5A7DB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联系方式：[乙方联系电话]</w:t>
      </w:r>
    </w:p>
    <w:p w14:paraId="14DBB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根据《中华人民共和国政府采购法》、《中华人民共和国民法典》、《中华人民共和国森林法》及相关法律法规的规定，甲乙双方本着平等、自愿、公平、诚信的原则，就乙方承接甲方森林可持续经营（低效林改造和幼龄林抚育）项目事宜，经协商一致，签订本合同。</w:t>
      </w:r>
    </w:p>
    <w:p w14:paraId="6EFA66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施工</w:t>
      </w:r>
      <w:r>
        <w:rPr>
          <w:rFonts w:hint="eastAsia" w:ascii="宋体" w:hAnsi="宋体" w:eastAsia="宋体" w:cs="宋体"/>
          <w:b/>
          <w:bCs/>
          <w:color w:val="auto"/>
          <w:sz w:val="24"/>
          <w:szCs w:val="24"/>
          <w:highlight w:val="none"/>
          <w:lang w:val="en-US" w:eastAsia="zh-CN"/>
        </w:rPr>
        <w:t>地</w:t>
      </w:r>
      <w:r>
        <w:rPr>
          <w:rFonts w:hint="eastAsia" w:ascii="宋体" w:hAnsi="宋体" w:eastAsia="宋体" w:cs="宋体"/>
          <w:b/>
          <w:bCs/>
          <w:color w:val="auto"/>
          <w:sz w:val="24"/>
          <w:szCs w:val="24"/>
          <w:highlight w:val="none"/>
        </w:rPr>
        <w:t>范围与内容</w:t>
      </w:r>
    </w:p>
    <w:p w14:paraId="7E333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 施工地点：</w:t>
      </w:r>
      <w:r>
        <w:rPr>
          <w:rFonts w:hint="eastAsia" w:ascii="宋体" w:hAnsi="宋体" w:eastAsia="宋体" w:cs="宋体"/>
          <w:color w:val="auto"/>
          <w:sz w:val="24"/>
          <w:szCs w:val="24"/>
          <w:highlight w:val="none"/>
          <w:lang w:val="en-US" w:eastAsia="zh-CN"/>
        </w:rPr>
        <w:t>鲁山县</w:t>
      </w:r>
    </w:p>
    <w:p w14:paraId="506A17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施工面积：亩</w:t>
      </w:r>
    </w:p>
    <w:p w14:paraId="5BAD0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 施工内容：</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eastAsia="zh-CN"/>
        </w:rPr>
        <w:t>《国有鲁山林场2025年度全国森林可持续经营项目作业设计》</w:t>
      </w:r>
      <w:r>
        <w:rPr>
          <w:rFonts w:hint="eastAsia" w:ascii="宋体" w:hAnsi="宋体" w:eastAsia="宋体" w:cs="宋体"/>
          <w:color w:val="auto"/>
          <w:sz w:val="24"/>
          <w:szCs w:val="24"/>
          <w:highlight w:val="none"/>
          <w:lang w:val="en-US" w:eastAsia="zh-CN"/>
        </w:rPr>
        <w:t>的要求施工</w:t>
      </w:r>
      <w:r>
        <w:rPr>
          <w:rFonts w:hint="eastAsia" w:ascii="宋体" w:hAnsi="宋体" w:eastAsia="宋体" w:cs="宋体"/>
          <w:color w:val="auto"/>
          <w:sz w:val="24"/>
          <w:szCs w:val="24"/>
          <w:highlight w:val="none"/>
        </w:rPr>
        <w:t>作业</w:t>
      </w:r>
      <w:r>
        <w:rPr>
          <w:rFonts w:hint="eastAsia" w:ascii="宋体" w:hAnsi="宋体" w:eastAsia="宋体" w:cs="宋体"/>
          <w:color w:val="auto"/>
          <w:sz w:val="24"/>
          <w:szCs w:val="24"/>
          <w:highlight w:val="none"/>
          <w:lang w:val="en-US" w:eastAsia="zh-CN"/>
        </w:rPr>
        <w:t>，主要包括幼龄林抚育任务共2016.5亩，可持续经营模式为疏伐+人工促进天然更新。作业方式以疏伐为主，促进保留林木生长。辅助修枝和割灌，进行人工促进天然更新作业中的割灌除草作业，以促进幼苗幼树生长发育。采伐作业遵循采劣留优、采弱留壮、采密留均、强度合理的原则，保护好幼苗幼树。低质低效林改造任务1239.8亩。可持续经营模式为间伐+补植，需要先进行间伐作业，采伐原则是采弱留壮、留优去劣，以调整林木生长空间，改善林分卫生状况。主要伐除枯死木、断头木、濒死木、风倒木等质量不高的树木。间伐作业后，小班郁闭度降低，需要再进行补植作业，选用乡土树种，混交补植，填补林间空地，恢复林分密度。补植苗木树种为杨树、臭椿、楝树、五角枫、白皮松等乡土树种。(作业要求详见项目作业设计）</w:t>
      </w:r>
    </w:p>
    <w:p w14:paraId="5836FC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施工期限</w:t>
      </w:r>
    </w:p>
    <w:p w14:paraId="187D7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开工日期：____年____月____日</w:t>
      </w:r>
    </w:p>
    <w:p w14:paraId="4D3E9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竣工日期：____年____月____日</w:t>
      </w:r>
    </w:p>
    <w:p w14:paraId="6C06FB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施工总工期：共计</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日历天。如遇不可抗力因素，工期相应顺延，乙方应在不可抗力事件发生后</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小时内书面通知甲方，并提供相关证明文件。</w:t>
      </w:r>
    </w:p>
    <w:p w14:paraId="00BA5E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支付方式</w:t>
      </w:r>
    </w:p>
    <w:p w14:paraId="38EC9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1、合同价款</w:t>
      </w:r>
    </w:p>
    <w:p w14:paraId="63838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本项目采用总价包干方式计价，具体数据以中标价格为准。合同总价款为人民币</w:t>
      </w:r>
      <w:r>
        <w:rPr>
          <w:rFonts w:hint="eastAsia" w:ascii="宋体" w:hAnsi="宋体" w:eastAsia="宋体" w:cs="宋体"/>
          <w:color w:val="auto"/>
          <w:sz w:val="24"/>
          <w:szCs w:val="24"/>
          <w:highlight w:val="none"/>
        </w:rPr>
        <w:t>____</w:t>
      </w:r>
      <w:r>
        <w:rPr>
          <w:rFonts w:hint="eastAsia" w:ascii="宋体" w:hAnsi="宋体" w:eastAsia="宋体" w:cs="宋体"/>
          <w:color w:val="auto"/>
          <w:sz w:val="24"/>
          <w:szCs w:val="24"/>
          <w:highlight w:val="none"/>
          <w:lang w:val="en-US" w:eastAsia="zh-CN"/>
        </w:rPr>
        <w:t>元（大写：[大写金额]）。</w:t>
      </w:r>
    </w:p>
    <w:p w14:paraId="6BC2F36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w:t>
      </w:r>
      <w:r>
        <w:rPr>
          <w:rFonts w:hint="eastAsia" w:ascii="宋体" w:hAnsi="宋体" w:eastAsia="宋体" w:cs="宋体"/>
          <w:color w:val="auto"/>
          <w:sz w:val="24"/>
          <w:szCs w:val="24"/>
          <w:highlight w:val="none"/>
        </w:rPr>
        <w:t>付方式：</w:t>
      </w:r>
    </w:p>
    <w:p w14:paraId="4EBE4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签订合同进场准备工作完成后支付至总价的50%，</w:t>
      </w:r>
      <w:r>
        <w:rPr>
          <w:rFonts w:hint="eastAsia" w:ascii="宋体" w:hAnsi="宋体" w:eastAsia="宋体" w:cs="宋体"/>
          <w:color w:val="auto"/>
          <w:sz w:val="24"/>
          <w:szCs w:val="24"/>
          <w:highlight w:val="none"/>
        </w:rPr>
        <w:t>项目完工后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乙方提交竣工报告和检查验收申请。最后甲方按照上级林业主管部门和第三方公司检查验收结果核发剩余资金。</w:t>
      </w:r>
    </w:p>
    <w:p w14:paraId="71CA45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w:t>
      </w:r>
      <w:r>
        <w:rPr>
          <w:rFonts w:hint="eastAsia" w:ascii="宋体" w:hAnsi="宋体" w:eastAsia="宋体" w:cs="宋体"/>
          <w:b/>
          <w:bCs/>
          <w:color w:val="auto"/>
          <w:sz w:val="24"/>
          <w:szCs w:val="24"/>
          <w:highlight w:val="none"/>
          <w:lang w:val="en-US" w:eastAsia="zh-CN"/>
        </w:rPr>
        <w:t>标准</w:t>
      </w:r>
      <w:r>
        <w:rPr>
          <w:rFonts w:hint="eastAsia" w:ascii="宋体" w:hAnsi="宋体" w:eastAsia="宋体" w:cs="宋体"/>
          <w:b/>
          <w:bCs/>
          <w:color w:val="auto"/>
          <w:sz w:val="24"/>
          <w:szCs w:val="24"/>
          <w:highlight w:val="none"/>
        </w:rPr>
        <w:t>要求</w:t>
      </w:r>
    </w:p>
    <w:p w14:paraId="2E371E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r>
        <w:rPr>
          <w:rFonts w:hint="eastAsia" w:ascii="宋体" w:hAnsi="宋体" w:eastAsia="宋体" w:cs="宋体"/>
          <w:color w:val="auto"/>
          <w:sz w:val="24"/>
          <w:szCs w:val="24"/>
          <w:highlight w:val="none"/>
          <w:lang w:eastAsia="zh-CN"/>
        </w:rPr>
        <w:t>乙方应严格按照国家、地方及行业现行的</w:t>
      </w:r>
      <w:r>
        <w:rPr>
          <w:rFonts w:hint="eastAsia" w:ascii="宋体" w:hAnsi="宋体" w:eastAsia="宋体" w:cs="宋体"/>
          <w:color w:val="auto"/>
          <w:sz w:val="24"/>
          <w:szCs w:val="24"/>
          <w:highlight w:val="none"/>
          <w:lang w:val="en-US" w:eastAsia="zh-CN"/>
        </w:rPr>
        <w:t>低效林改造和</w:t>
      </w:r>
      <w:r>
        <w:rPr>
          <w:rFonts w:hint="eastAsia" w:ascii="宋体" w:hAnsi="宋体" w:eastAsia="宋体" w:cs="宋体"/>
          <w:color w:val="auto"/>
          <w:sz w:val="24"/>
          <w:szCs w:val="24"/>
          <w:highlight w:val="none"/>
          <w:lang w:eastAsia="zh-CN"/>
        </w:rPr>
        <w:t>森林抚育技术标准、规程和规范进行施工，确保</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质量达到合格标准。具体质量标准以《</w:t>
      </w:r>
      <w:r>
        <w:rPr>
          <w:rFonts w:hint="eastAsia" w:ascii="宋体" w:hAnsi="宋体" w:eastAsia="宋体" w:cs="宋体"/>
          <w:color w:val="auto"/>
          <w:sz w:val="24"/>
          <w:szCs w:val="24"/>
          <w:highlight w:val="none"/>
          <w:lang w:val="en-US" w:eastAsia="zh-CN"/>
        </w:rPr>
        <w:t>国有鲁山林场2025年度全国森林可持续经营作业设计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为准。</w:t>
      </w:r>
    </w:p>
    <w:p w14:paraId="7C251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在施工过程中，乙方应接受甲方的监督检查，对不符合质量要求的部分，应及时整改，直至达到质量</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lang w:eastAsia="zh-CN"/>
        </w:rPr>
        <w:t>标准。</w:t>
      </w:r>
    </w:p>
    <w:p w14:paraId="518FC3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五、甲乙双方的权利</w:t>
      </w:r>
      <w:r>
        <w:rPr>
          <w:rFonts w:hint="eastAsia" w:ascii="宋体" w:hAnsi="宋体" w:eastAsia="宋体" w:cs="宋体"/>
          <w:b/>
          <w:bCs/>
          <w:color w:val="auto"/>
          <w:sz w:val="24"/>
          <w:szCs w:val="24"/>
          <w:highlight w:val="none"/>
          <w:lang w:val="en-US" w:eastAsia="zh-CN"/>
        </w:rPr>
        <w:t>和</w:t>
      </w:r>
      <w:r>
        <w:rPr>
          <w:rFonts w:hint="eastAsia" w:ascii="宋体" w:hAnsi="宋体" w:eastAsia="宋体" w:cs="宋体"/>
          <w:b/>
          <w:bCs/>
          <w:color w:val="auto"/>
          <w:sz w:val="24"/>
          <w:szCs w:val="24"/>
          <w:highlight w:val="none"/>
        </w:rPr>
        <w:t>义务</w:t>
      </w:r>
    </w:p>
    <w:p w14:paraId="6DBA35F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（一）甲方的权利</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义务</w:t>
      </w:r>
    </w:p>
    <w:p w14:paraId="21E36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有权对</w:t>
      </w:r>
      <w:r>
        <w:rPr>
          <w:rFonts w:hint="eastAsia" w:ascii="宋体" w:hAnsi="宋体" w:eastAsia="宋体" w:cs="宋体"/>
          <w:color w:val="auto"/>
          <w:sz w:val="24"/>
          <w:szCs w:val="24"/>
          <w:highlight w:val="none"/>
          <w:lang w:val="en-US" w:eastAsia="zh-CN"/>
        </w:rPr>
        <w:t>森林可持续经营项目</w:t>
      </w:r>
      <w:r>
        <w:rPr>
          <w:rFonts w:hint="eastAsia" w:ascii="宋体" w:hAnsi="宋体" w:eastAsia="宋体" w:cs="宋体"/>
          <w:color w:val="auto"/>
          <w:sz w:val="24"/>
          <w:szCs w:val="24"/>
          <w:highlight w:val="none"/>
        </w:rPr>
        <w:t>施工过程进行监督检查，对不符合质量要求和施工规范的行为提出整改意见。</w:t>
      </w:r>
    </w:p>
    <w:p w14:paraId="33BECC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2.甲方有权向乙方询问</w:t>
      </w:r>
      <w:r>
        <w:rPr>
          <w:rFonts w:hint="eastAsia" w:ascii="宋体" w:hAnsi="宋体" w:eastAsia="宋体" w:cs="宋体"/>
          <w:color w:val="auto"/>
          <w:sz w:val="24"/>
          <w:szCs w:val="24"/>
          <w:highlight w:val="none"/>
          <w:lang w:val="en-US" w:eastAsia="zh-CN"/>
        </w:rPr>
        <w:t>森林可持续经营项目施工</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展情况</w:t>
      </w:r>
      <w:r>
        <w:rPr>
          <w:rFonts w:hint="eastAsia" w:ascii="宋体" w:hAnsi="宋体" w:eastAsia="宋体" w:cs="宋体"/>
          <w:color w:val="auto"/>
          <w:sz w:val="24"/>
          <w:szCs w:val="24"/>
          <w:highlight w:val="none"/>
          <w:lang w:val="en-US" w:eastAsia="zh-CN"/>
        </w:rPr>
        <w:t>和相关内容</w:t>
      </w:r>
      <w:r>
        <w:rPr>
          <w:rFonts w:hint="eastAsia" w:ascii="宋体" w:hAnsi="宋体" w:eastAsia="宋体" w:cs="宋体"/>
          <w:color w:val="auto"/>
          <w:sz w:val="24"/>
          <w:szCs w:val="24"/>
          <w:highlight w:val="none"/>
        </w:rPr>
        <w:t>，督促</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施</w:t>
      </w:r>
      <w:r>
        <w:rPr>
          <w:rFonts w:hint="eastAsia" w:ascii="宋体" w:hAnsi="宋体" w:eastAsia="宋体" w:cs="宋体"/>
          <w:color w:val="auto"/>
          <w:sz w:val="24"/>
          <w:szCs w:val="24"/>
          <w:highlight w:val="none"/>
          <w:lang w:val="en-US" w:eastAsia="zh-CN"/>
        </w:rPr>
        <w:t>工进度。</w:t>
      </w:r>
    </w:p>
    <w:p w14:paraId="30B56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3.甲方有义务向乙方提供开展森林可持续经营项目所需的相关资料，包括但不限于林地权属证明、作业设计、采伐证等。</w:t>
      </w:r>
    </w:p>
    <w:p w14:paraId="60F54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（二）乙方的权利</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义务</w:t>
      </w:r>
    </w:p>
    <w:p w14:paraId="5F7A7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1.乙方应当</w:t>
      </w:r>
      <w:r>
        <w:rPr>
          <w:rFonts w:hint="eastAsia" w:ascii="宋体" w:hAnsi="宋体" w:eastAsia="宋体" w:cs="宋体"/>
          <w:color w:val="auto"/>
          <w:sz w:val="24"/>
          <w:szCs w:val="24"/>
          <w:highlight w:val="none"/>
          <w:lang w:val="en-US" w:eastAsia="zh-CN"/>
        </w:rPr>
        <w:t>配备与项目施工作业相关的技术人员和技术设备</w:t>
      </w:r>
      <w:r>
        <w:rPr>
          <w:rFonts w:hint="eastAsia" w:ascii="宋体" w:hAnsi="宋体" w:eastAsia="宋体" w:cs="宋体"/>
          <w:color w:val="auto"/>
          <w:sz w:val="24"/>
          <w:szCs w:val="24"/>
          <w:highlight w:val="none"/>
        </w:rPr>
        <w:t>，制定</w:t>
      </w:r>
      <w:r>
        <w:rPr>
          <w:rFonts w:hint="eastAsia" w:ascii="宋体" w:hAnsi="宋体" w:eastAsia="宋体" w:cs="宋体"/>
          <w:color w:val="auto"/>
          <w:sz w:val="24"/>
          <w:szCs w:val="24"/>
          <w:highlight w:val="none"/>
          <w:lang w:val="en-US" w:eastAsia="zh-CN"/>
        </w:rPr>
        <w:t>合理的</w:t>
      </w:r>
      <w:r>
        <w:rPr>
          <w:rFonts w:hint="eastAsia" w:ascii="宋体" w:hAnsi="宋体" w:eastAsia="宋体" w:cs="宋体"/>
          <w:color w:val="auto"/>
          <w:sz w:val="24"/>
          <w:szCs w:val="24"/>
          <w:highlight w:val="none"/>
        </w:rPr>
        <w:t>工作计划，确保</w:t>
      </w:r>
      <w:r>
        <w:rPr>
          <w:rFonts w:hint="eastAsia" w:ascii="宋体" w:hAnsi="宋体" w:eastAsia="宋体" w:cs="宋体"/>
          <w:color w:val="auto"/>
          <w:sz w:val="24"/>
          <w:szCs w:val="24"/>
          <w:highlight w:val="none"/>
          <w:lang w:val="en-US" w:eastAsia="zh-CN"/>
        </w:rPr>
        <w:t>所承担的项目任务</w:t>
      </w:r>
      <w:r>
        <w:rPr>
          <w:rFonts w:hint="eastAsia" w:ascii="宋体" w:hAnsi="宋体" w:eastAsia="宋体" w:cs="宋体"/>
          <w:color w:val="auto"/>
          <w:sz w:val="24"/>
          <w:szCs w:val="24"/>
          <w:highlight w:val="none"/>
        </w:rPr>
        <w:t>按照国家有关的法律、法规、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val="en-US" w:eastAsia="zh-CN"/>
        </w:rPr>
        <w:t>实施森林抚育作业任务</w:t>
      </w:r>
      <w:r>
        <w:rPr>
          <w:rFonts w:hint="eastAsia" w:ascii="宋体" w:hAnsi="宋体" w:eastAsia="宋体" w:cs="宋体"/>
          <w:color w:val="auto"/>
          <w:sz w:val="24"/>
          <w:szCs w:val="24"/>
          <w:highlight w:val="none"/>
        </w:rPr>
        <w:t>。</w:t>
      </w:r>
    </w:p>
    <w:p w14:paraId="12FB6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乙方负责组织专业施工队伍，按照合同约定的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内容、施工期限和质量标准完成</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施工任务。</w:t>
      </w:r>
    </w:p>
    <w:p w14:paraId="2B45A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3.乙方施工过程中，严格遵守国家和地方有关安全生产、环境保护、</w:t>
      </w:r>
      <w:r>
        <w:rPr>
          <w:rFonts w:hint="eastAsia" w:ascii="宋体" w:hAnsi="宋体" w:eastAsia="宋体" w:cs="宋体"/>
          <w:color w:val="auto"/>
          <w:sz w:val="24"/>
          <w:szCs w:val="24"/>
          <w:highlight w:val="none"/>
          <w:lang w:val="en-US" w:eastAsia="zh-CN"/>
        </w:rPr>
        <w:t>森林资源保护</w:t>
      </w:r>
      <w:r>
        <w:rPr>
          <w:rFonts w:hint="eastAsia" w:ascii="宋体" w:hAnsi="宋体" w:eastAsia="宋体" w:cs="宋体"/>
          <w:color w:val="auto"/>
          <w:sz w:val="24"/>
          <w:szCs w:val="24"/>
          <w:highlight w:val="none"/>
        </w:rPr>
        <w:t>等法律法规，采取必要的安全防护、环保措施、</w:t>
      </w:r>
      <w:r>
        <w:rPr>
          <w:rFonts w:hint="eastAsia" w:ascii="宋体" w:hAnsi="宋体" w:eastAsia="宋体" w:cs="宋体"/>
          <w:color w:val="auto"/>
          <w:sz w:val="24"/>
          <w:szCs w:val="24"/>
          <w:highlight w:val="none"/>
          <w:lang w:val="en-US" w:eastAsia="zh-CN"/>
        </w:rPr>
        <w:t>森林资源保护措施</w:t>
      </w:r>
      <w:r>
        <w:rPr>
          <w:rFonts w:hint="eastAsia" w:ascii="宋体" w:hAnsi="宋体" w:eastAsia="宋体" w:cs="宋体"/>
          <w:color w:val="auto"/>
          <w:sz w:val="24"/>
          <w:szCs w:val="24"/>
          <w:highlight w:val="none"/>
        </w:rPr>
        <w:t>，确保施工安全、</w:t>
      </w:r>
      <w:r>
        <w:rPr>
          <w:rFonts w:hint="eastAsia" w:ascii="宋体" w:hAnsi="宋体" w:eastAsia="宋体" w:cs="宋体"/>
          <w:color w:val="auto"/>
          <w:sz w:val="24"/>
          <w:szCs w:val="24"/>
          <w:highlight w:val="none"/>
          <w:lang w:val="en-US" w:eastAsia="zh-CN"/>
        </w:rPr>
        <w:t>森林资源</w:t>
      </w:r>
      <w:r>
        <w:rPr>
          <w:rFonts w:hint="eastAsia" w:ascii="宋体" w:hAnsi="宋体" w:eastAsia="宋体" w:cs="宋体"/>
          <w:color w:val="auto"/>
          <w:sz w:val="24"/>
          <w:szCs w:val="24"/>
          <w:highlight w:val="none"/>
        </w:rPr>
        <w:t>、生态环境不受破坏。如乙方</w:t>
      </w:r>
      <w:r>
        <w:rPr>
          <w:rFonts w:hint="eastAsia" w:ascii="宋体" w:hAnsi="宋体" w:eastAsia="宋体" w:cs="宋体"/>
          <w:color w:val="auto"/>
          <w:sz w:val="24"/>
          <w:szCs w:val="24"/>
          <w:highlight w:val="none"/>
          <w:lang w:val="en-US" w:eastAsia="zh-CN"/>
        </w:rPr>
        <w:t>施工作业</w:t>
      </w:r>
      <w:r>
        <w:rPr>
          <w:rFonts w:hint="eastAsia" w:ascii="宋体" w:hAnsi="宋体" w:eastAsia="宋体" w:cs="宋体"/>
          <w:color w:val="auto"/>
          <w:sz w:val="24"/>
          <w:szCs w:val="24"/>
          <w:highlight w:val="none"/>
        </w:rPr>
        <w:t>发生安全事故或造成环境污染、</w:t>
      </w:r>
      <w:r>
        <w:rPr>
          <w:rFonts w:hint="eastAsia" w:ascii="宋体" w:hAnsi="宋体" w:eastAsia="宋体" w:cs="宋体"/>
          <w:color w:val="auto"/>
          <w:sz w:val="24"/>
          <w:szCs w:val="24"/>
          <w:highlight w:val="none"/>
          <w:lang w:val="en-US" w:eastAsia="zh-CN"/>
        </w:rPr>
        <w:t>破坏森林资源</w:t>
      </w:r>
      <w:r>
        <w:rPr>
          <w:rFonts w:hint="eastAsia" w:ascii="宋体" w:hAnsi="宋体" w:eastAsia="宋体" w:cs="宋体"/>
          <w:color w:val="auto"/>
          <w:sz w:val="24"/>
          <w:szCs w:val="24"/>
          <w:highlight w:val="none"/>
        </w:rPr>
        <w:t>，由乙方承担全部法律责任和经济赔偿责任。</w:t>
      </w:r>
    </w:p>
    <w:p w14:paraId="6B327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期内必须无条件服从甲方护林防火有关规定。</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竣工后，负责清理施工现场，保持林地整洁。</w:t>
      </w:r>
    </w:p>
    <w:p w14:paraId="79967E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六、违约责任</w:t>
      </w:r>
    </w:p>
    <w:p w14:paraId="69995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1.若乙方未按照合同约定</w:t>
      </w:r>
      <w:r>
        <w:rPr>
          <w:rFonts w:hint="eastAsia" w:ascii="宋体" w:hAnsi="宋体" w:eastAsia="宋体" w:cs="宋体"/>
          <w:color w:val="auto"/>
          <w:sz w:val="24"/>
          <w:szCs w:val="24"/>
          <w:highlight w:val="none"/>
          <w:lang w:val="en-US" w:eastAsia="zh-CN"/>
        </w:rPr>
        <w:t>开展森林可持续经营项目施工作业，</w:t>
      </w:r>
      <w:r>
        <w:rPr>
          <w:rFonts w:hint="eastAsia" w:ascii="宋体" w:hAnsi="宋体" w:eastAsia="宋体" w:cs="宋体"/>
          <w:color w:val="auto"/>
          <w:sz w:val="24"/>
          <w:szCs w:val="24"/>
          <w:highlight w:val="none"/>
        </w:rPr>
        <w:t>甲方有权解除合同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乙方完工</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经验收合格，甲方按照</w:t>
      </w:r>
      <w:r>
        <w:rPr>
          <w:rFonts w:hint="eastAsia" w:ascii="宋体" w:hAnsi="宋体" w:eastAsia="宋体" w:cs="宋体"/>
          <w:color w:val="auto"/>
          <w:sz w:val="24"/>
          <w:szCs w:val="24"/>
          <w:highlight w:val="none"/>
          <w:lang w:val="en-US" w:eastAsia="zh-CN"/>
        </w:rPr>
        <w:t>合同规定</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项目资金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经验收不合格的，甲方有权不支付任何款项。</w:t>
      </w:r>
    </w:p>
    <w:p w14:paraId="0099A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若乙方施工质量不符合合同约定的质量标准，乙方应负责无偿返工、整改，直至达到</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如果</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经</w:t>
      </w:r>
      <w:r>
        <w:rPr>
          <w:rFonts w:hint="eastAsia" w:ascii="宋体" w:hAnsi="宋体" w:eastAsia="宋体" w:cs="宋体"/>
          <w:color w:val="auto"/>
          <w:sz w:val="24"/>
          <w:szCs w:val="24"/>
          <w:highlight w:val="none"/>
        </w:rPr>
        <w:t>返工、整改后仍无法达到质量</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标准的，甲方有权解除合同，并要求乙方返还已支付的</w:t>
      </w:r>
      <w:r>
        <w:rPr>
          <w:rFonts w:hint="eastAsia" w:ascii="宋体" w:hAnsi="宋体" w:eastAsia="宋体" w:cs="宋体"/>
          <w:color w:val="auto"/>
          <w:sz w:val="24"/>
          <w:szCs w:val="24"/>
          <w:highlight w:val="none"/>
          <w:lang w:val="en-US" w:eastAsia="zh-CN"/>
        </w:rPr>
        <w:t>项目补助</w:t>
      </w:r>
      <w:r>
        <w:rPr>
          <w:rFonts w:hint="eastAsia" w:ascii="宋体" w:hAnsi="宋体" w:eastAsia="宋体" w:cs="宋体"/>
          <w:color w:val="auto"/>
          <w:sz w:val="24"/>
          <w:szCs w:val="24"/>
          <w:highlight w:val="none"/>
        </w:rPr>
        <w:t>款，由此给甲方造成的损失，乙方应予以赔偿。</w:t>
      </w:r>
    </w:p>
    <w:p w14:paraId="2EE05B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七、解决纠纷的方式</w:t>
      </w:r>
    </w:p>
    <w:p w14:paraId="31D4A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本合同未尽事宜，应由</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双方共同协商，签订补充</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，补充</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规定与本合同具有同等效力。双方因在履行合同过程中发生争议应协商、调解解决。协商、调解不成的，约定由本地仲裁委员会或诉至本地人民法院依法解决。</w:t>
      </w:r>
    </w:p>
    <w:p w14:paraId="13D4D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八、其他</w:t>
      </w:r>
    </w:p>
    <w:p w14:paraId="04954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份，自双方签字盖章之日起生效。</w:t>
      </w:r>
    </w:p>
    <w:p w14:paraId="1571E4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F1AED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564A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甲方（盖章）：__________________</w:t>
      </w:r>
    </w:p>
    <w:p w14:paraId="67C25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法定代表人或授权代表（签字）：______</w:t>
      </w:r>
    </w:p>
    <w:p w14:paraId="7C905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签订日期：______年____月____日</w:t>
      </w:r>
    </w:p>
    <w:p w14:paraId="4883B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4388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乙方（盖章）：__________________</w:t>
      </w:r>
    </w:p>
    <w:p w14:paraId="40721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法定代表人或授权代表（签字）：______</w:t>
      </w:r>
    </w:p>
    <w:p w14:paraId="140C5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签订日期：______年____月____日</w:t>
      </w:r>
    </w:p>
    <w:p w14:paraId="170FB3AF">
      <w:pPr>
        <w:pStyle w:val="4"/>
        <w:numPr>
          <w:ilvl w:val="0"/>
          <w:numId w:val="1"/>
        </w:numPr>
        <w:spacing w:before="100" w:after="100"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 </w:t>
      </w:r>
      <w:bookmarkStart w:id="163" w:name="_Toc4100"/>
      <w:r>
        <w:rPr>
          <w:rFonts w:hint="eastAsia" w:ascii="宋体" w:hAnsi="宋体" w:eastAsia="宋体" w:cs="宋体"/>
          <w:color w:val="auto"/>
          <w:sz w:val="36"/>
          <w:szCs w:val="36"/>
          <w:highlight w:val="none"/>
        </w:rPr>
        <w:t>服务要求</w:t>
      </w:r>
      <w:r>
        <w:rPr>
          <w:rFonts w:hint="eastAsia" w:ascii="宋体" w:hAnsi="宋体" w:eastAsia="宋体" w:cs="宋体"/>
          <w:color w:val="auto"/>
          <w:sz w:val="36"/>
          <w:szCs w:val="36"/>
          <w:highlight w:val="none"/>
          <w:lang w:val="en-US" w:eastAsia="zh-CN"/>
        </w:rPr>
        <w:t>及质量标准</w:t>
      </w:r>
      <w:bookmarkEnd w:id="163"/>
    </w:p>
    <w:p w14:paraId="6B708993">
      <w:pPr>
        <w:keepNext w:val="0"/>
        <w:keepLines w:val="0"/>
        <w:pageBreakBefore w:val="0"/>
        <w:widowControl w:val="0"/>
        <w:numPr>
          <w:ilvl w:val="0"/>
          <w:numId w:val="0"/>
        </w:numPr>
        <w:kinsoku/>
        <w:wordWrap/>
        <w:topLinePunct w:val="0"/>
        <w:autoSpaceDE/>
        <w:autoSpaceDN/>
        <w:bidi w:val="0"/>
        <w:adjustRightInd/>
        <w:snapToGrid/>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第一标段：低质低效林改造项目</w:t>
      </w:r>
    </w:p>
    <w:p w14:paraId="257CC29F">
      <w:pPr>
        <w:keepNext w:val="0"/>
        <w:keepLines w:val="0"/>
        <w:pageBreakBefore w:val="0"/>
        <w:widowControl w:val="0"/>
        <w:numPr>
          <w:ilvl w:val="0"/>
          <w:numId w:val="0"/>
        </w:numPr>
        <w:kinsoku/>
        <w:wordWrap/>
        <w:topLinePunct w:val="0"/>
        <w:autoSpaceDE/>
        <w:autoSpaceDN/>
        <w:bidi w:val="0"/>
        <w:adjustRightInd/>
        <w:snapToGrid/>
        <w:spacing w:line="360" w:lineRule="auto"/>
        <w:ind w:left="420" w:leftChars="20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低质低效林改造任务</w:t>
      </w:r>
      <w:r>
        <w:rPr>
          <w:rFonts w:hint="eastAsia" w:ascii="宋体" w:hAnsi="宋体" w:eastAsia="宋体" w:cs="宋体"/>
          <w:color w:val="auto"/>
          <w:sz w:val="24"/>
          <w:szCs w:val="24"/>
          <w:highlight w:val="none"/>
        </w:rPr>
        <w:t>1239.8亩</w:t>
      </w:r>
      <w:r>
        <w:rPr>
          <w:rFonts w:hint="eastAsia" w:ascii="宋体" w:hAnsi="宋体" w:eastAsia="宋体" w:cs="宋体"/>
          <w:color w:val="auto"/>
          <w:sz w:val="24"/>
          <w:szCs w:val="24"/>
          <w:highlight w:val="none"/>
          <w:lang w:val="en-US" w:eastAsia="zh-CN"/>
        </w:rPr>
        <w:t>。</w:t>
      </w:r>
    </w:p>
    <w:p w14:paraId="179A7977">
      <w:pPr>
        <w:keepNext w:val="0"/>
        <w:keepLines w:val="0"/>
        <w:pageBreakBefore w:val="0"/>
        <w:widowControl w:val="0"/>
        <w:numPr>
          <w:ilvl w:val="0"/>
          <w:numId w:val="0"/>
        </w:numPr>
        <w:kinsoku/>
        <w:wordWrap/>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服务内容</w:t>
      </w:r>
    </w:p>
    <w:p w14:paraId="28C77FEE">
      <w:pPr>
        <w:keepNext w:val="0"/>
        <w:keepLines w:val="0"/>
        <w:pageBreakBefore w:val="0"/>
        <w:widowControl w:val="0"/>
        <w:kinsoku/>
        <w:wordWrap/>
        <w:topLinePunct w:val="0"/>
        <w:autoSpaceDE/>
        <w:autoSpaceDN/>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主要建设内容</w:t>
      </w:r>
      <w:r>
        <w:rPr>
          <w:rFonts w:hint="eastAsia" w:ascii="宋体" w:hAnsi="宋体" w:eastAsia="宋体" w:cs="宋体"/>
          <w:color w:val="auto"/>
          <w:sz w:val="24"/>
          <w:szCs w:val="24"/>
          <w:highlight w:val="none"/>
        </w:rPr>
        <w:t>为低效林改造，</w:t>
      </w:r>
      <w:r>
        <w:rPr>
          <w:rFonts w:hint="eastAsia" w:ascii="宋体" w:hAnsi="宋体" w:eastAsia="宋体" w:cs="宋体"/>
          <w:color w:val="auto"/>
          <w:sz w:val="24"/>
          <w:szCs w:val="24"/>
          <w:highlight w:val="none"/>
          <w:lang w:val="en-US" w:eastAsia="zh-CN"/>
        </w:rPr>
        <w:t>规划设计</w:t>
      </w:r>
      <w:r>
        <w:rPr>
          <w:rFonts w:hint="eastAsia" w:ascii="宋体" w:hAnsi="宋体" w:eastAsia="宋体" w:cs="宋体"/>
          <w:color w:val="auto"/>
          <w:sz w:val="24"/>
          <w:szCs w:val="24"/>
          <w:highlight w:val="none"/>
        </w:rPr>
        <w:t>第二营林区25林班、26林班内的9个小班</w:t>
      </w:r>
      <w:r>
        <w:rPr>
          <w:rFonts w:hint="eastAsia" w:ascii="宋体" w:hAnsi="宋体" w:eastAsia="宋体" w:cs="宋体"/>
          <w:color w:val="auto"/>
          <w:sz w:val="24"/>
          <w:szCs w:val="24"/>
          <w:highlight w:val="none"/>
          <w:lang w:val="en-US" w:eastAsia="zh-CN"/>
        </w:rPr>
        <w:t>总面积1239.8亩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其中第二营林区25林班的1、2小班，面积326.5亩，26林班的3、4、5、6、7、8、9小班，面积913.3亩。</w:t>
      </w:r>
      <w:r>
        <w:rPr>
          <w:rFonts w:hint="eastAsia" w:ascii="宋体" w:hAnsi="宋体" w:eastAsia="宋体" w:cs="宋体"/>
          <w:color w:val="auto"/>
          <w:sz w:val="24"/>
          <w:szCs w:val="24"/>
          <w:highlight w:val="none"/>
        </w:rPr>
        <w:t>林龄在</w:t>
      </w:r>
      <w:r>
        <w:rPr>
          <w:rFonts w:hint="eastAsia" w:ascii="宋体" w:hAnsi="宋体" w:eastAsia="宋体" w:cs="宋体"/>
          <w:color w:val="auto"/>
          <w:sz w:val="24"/>
          <w:szCs w:val="24"/>
          <w:highlight w:val="none"/>
          <w:lang w:val="en-US" w:eastAsia="zh-CN"/>
        </w:rPr>
        <w:t>13-30</w:t>
      </w:r>
      <w:r>
        <w:rPr>
          <w:rFonts w:hint="eastAsia" w:ascii="宋体" w:hAnsi="宋体" w:eastAsia="宋体" w:cs="宋体"/>
          <w:color w:val="auto"/>
          <w:sz w:val="24"/>
          <w:szCs w:val="24"/>
          <w:highlight w:val="none"/>
        </w:rPr>
        <w:t>年，树高</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-18米，郁闭度</w:t>
      </w:r>
      <w:r>
        <w:rPr>
          <w:rFonts w:hint="eastAsia" w:ascii="宋体" w:hAnsi="宋体" w:eastAsia="宋体" w:cs="宋体"/>
          <w:color w:val="auto"/>
          <w:sz w:val="24"/>
          <w:szCs w:val="24"/>
          <w:highlight w:val="none"/>
          <w:lang w:val="en-US" w:eastAsia="zh-CN"/>
        </w:rPr>
        <w:t>0.3-0.4</w:t>
      </w:r>
      <w:r>
        <w:rPr>
          <w:rFonts w:hint="eastAsia" w:ascii="宋体" w:hAnsi="宋体" w:eastAsia="宋体" w:cs="宋体"/>
          <w:color w:val="auto"/>
          <w:sz w:val="24"/>
          <w:szCs w:val="24"/>
          <w:highlight w:val="none"/>
        </w:rPr>
        <w:t>，平均胸径13-2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厘米，优势树种为刺槐、杨树，小班内林木分布不均，有地块过密，有地块较稀，且有林间空地，林木生长发育迟缓，生长缺乏活力，林相残败，靠自然能力无法完成林分更新演替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可持续经营模式为间伐+补植，需要先进行间伐作业，</w:t>
      </w:r>
      <w:r>
        <w:rPr>
          <w:rFonts w:hint="eastAsia" w:ascii="宋体" w:hAnsi="宋体" w:eastAsia="宋体" w:cs="宋体"/>
          <w:color w:val="auto"/>
          <w:sz w:val="24"/>
          <w:szCs w:val="24"/>
          <w:highlight w:val="none"/>
          <w:lang w:val="en-US" w:eastAsia="zh-CN"/>
        </w:rPr>
        <w:t>采伐原则是</w:t>
      </w:r>
      <w:r>
        <w:rPr>
          <w:rFonts w:hint="eastAsia" w:ascii="宋体" w:hAnsi="宋体" w:eastAsia="宋体" w:cs="宋体"/>
          <w:color w:val="auto"/>
          <w:sz w:val="24"/>
          <w:szCs w:val="24"/>
          <w:highlight w:val="none"/>
        </w:rPr>
        <w:t>采弱留壮、留优去劣，以调整林木生长空间，改善林分卫生状况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主要伐除枯死木、断头木、濒死木、风倒木等质量不高的树木，</w:t>
      </w:r>
      <w:r>
        <w:rPr>
          <w:rFonts w:hint="eastAsia" w:ascii="宋体" w:hAnsi="宋体" w:eastAsia="宋体" w:cs="宋体"/>
          <w:color w:val="auto"/>
          <w:sz w:val="24"/>
          <w:szCs w:val="24"/>
          <w:highlight w:val="none"/>
        </w:rPr>
        <w:t>伐根高度不超</w:t>
      </w:r>
      <w:r>
        <w:rPr>
          <w:rFonts w:hint="eastAsia" w:ascii="宋体" w:hAnsi="宋体" w:eastAsia="宋体" w:cs="宋体"/>
          <w:color w:val="auto"/>
          <w:sz w:val="24"/>
          <w:szCs w:val="24"/>
          <w:highlight w:val="none"/>
          <w:lang w:val="en-US" w:eastAsia="zh-CN"/>
        </w:rPr>
        <w:t>过</w:t>
      </w:r>
      <w:r>
        <w:rPr>
          <w:rFonts w:hint="eastAsia" w:ascii="宋体" w:hAnsi="宋体" w:eastAsia="宋体" w:cs="宋体"/>
          <w:color w:val="auto"/>
          <w:sz w:val="24"/>
          <w:szCs w:val="24"/>
          <w:highlight w:val="none"/>
        </w:rPr>
        <w:t>10公分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间伐作业后，小班郁闭度降低，需要再进行补植作业，选用乡土树种，混交补植，填补林间空地，恢复</w:t>
      </w:r>
      <w:r>
        <w:rPr>
          <w:rFonts w:hint="eastAsia" w:ascii="宋体" w:hAnsi="宋体" w:eastAsia="宋体" w:cs="宋体"/>
          <w:color w:val="auto"/>
          <w:sz w:val="24"/>
          <w:szCs w:val="24"/>
          <w:highlight w:val="none"/>
          <w:lang w:val="en-US" w:eastAsia="zh-CN"/>
        </w:rPr>
        <w:t>林分</w:t>
      </w:r>
      <w:r>
        <w:rPr>
          <w:rFonts w:hint="eastAsia" w:ascii="宋体" w:hAnsi="宋体" w:eastAsia="宋体" w:cs="宋体"/>
          <w:color w:val="auto"/>
          <w:sz w:val="24"/>
          <w:szCs w:val="24"/>
          <w:highlight w:val="none"/>
        </w:rPr>
        <w:t>密度。补植</w:t>
      </w:r>
      <w:r>
        <w:rPr>
          <w:rFonts w:hint="eastAsia" w:ascii="宋体" w:hAnsi="宋体" w:eastAsia="宋体" w:cs="宋体"/>
          <w:color w:val="auto"/>
          <w:sz w:val="24"/>
          <w:szCs w:val="24"/>
          <w:highlight w:val="none"/>
          <w:lang w:val="en-US" w:eastAsia="zh-CN"/>
        </w:rPr>
        <w:t>苗木</w:t>
      </w:r>
      <w:r>
        <w:rPr>
          <w:rFonts w:hint="eastAsia" w:ascii="宋体" w:hAnsi="宋体" w:eastAsia="宋体" w:cs="宋体"/>
          <w:color w:val="auto"/>
          <w:sz w:val="24"/>
          <w:szCs w:val="24"/>
          <w:highlight w:val="none"/>
        </w:rPr>
        <w:t>树种为杨树、臭椿、楝树、五角枫、白皮松等</w:t>
      </w:r>
      <w:r>
        <w:rPr>
          <w:rFonts w:hint="eastAsia" w:ascii="宋体" w:hAnsi="宋体" w:eastAsia="宋体" w:cs="宋体"/>
          <w:color w:val="auto"/>
          <w:sz w:val="24"/>
          <w:szCs w:val="24"/>
          <w:highlight w:val="none"/>
          <w:lang w:val="en-US" w:eastAsia="zh-CN"/>
        </w:rPr>
        <w:t>乡土树种，补植苗木</w:t>
      </w:r>
      <w:r>
        <w:rPr>
          <w:rFonts w:hint="eastAsia" w:ascii="宋体" w:hAnsi="宋体" w:eastAsia="宋体" w:cs="宋体"/>
          <w:color w:val="auto"/>
          <w:sz w:val="24"/>
          <w:szCs w:val="24"/>
          <w:highlight w:val="none"/>
        </w:rPr>
        <w:t>采用地径2-3厘米的裸根壮苗，并要求根系完整，无机械损伤，幼苗均为达到Ⅰ级标准的合格苗，</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共需补植</w:t>
      </w:r>
      <w:r>
        <w:rPr>
          <w:rFonts w:hint="eastAsia" w:ascii="宋体" w:hAnsi="宋体" w:eastAsia="宋体" w:cs="宋体"/>
          <w:color w:val="auto"/>
          <w:sz w:val="24"/>
          <w:szCs w:val="24"/>
          <w:highlight w:val="none"/>
          <w:lang w:val="en-US" w:eastAsia="zh-CN"/>
        </w:rPr>
        <w:t>各种苗木</w:t>
      </w:r>
      <w:r>
        <w:rPr>
          <w:rFonts w:hint="eastAsia" w:ascii="宋体" w:hAnsi="宋体" w:eastAsia="宋体" w:cs="宋体"/>
          <w:color w:val="auto"/>
          <w:sz w:val="24"/>
          <w:szCs w:val="24"/>
          <w:highlight w:val="none"/>
        </w:rPr>
        <w:t>43959棵。苗木补植工作初步完成后，做好苗木管护抚育工作，确保补植苗木成活</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健康生长。</w:t>
      </w:r>
    </w:p>
    <w:p w14:paraId="30939BE9">
      <w:pPr>
        <w:keepNext w:val="0"/>
        <w:keepLines w:val="0"/>
        <w:pageBreakBefore w:val="0"/>
        <w:widowControl w:val="0"/>
        <w:numPr>
          <w:ilvl w:val="0"/>
          <w:numId w:val="0"/>
        </w:numPr>
        <w:kinsoku/>
        <w:wordWrap/>
        <w:topLinePunct w:val="0"/>
        <w:autoSpaceDE/>
        <w:autoSpaceDN/>
        <w:bidi w:val="0"/>
        <w:adjustRightInd/>
        <w:snapToGrid/>
        <w:spacing w:line="360" w:lineRule="auto"/>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2、质量标准</w:t>
      </w:r>
    </w:p>
    <w:p w14:paraId="1028DBD9">
      <w:pPr>
        <w:keepNext w:val="0"/>
        <w:keepLines w:val="0"/>
        <w:pageBreakBefore w:val="0"/>
        <w:widowControl w:val="0"/>
        <w:numPr>
          <w:ilvl w:val="0"/>
          <w:numId w:val="0"/>
        </w:numPr>
        <w:kinsoku/>
        <w:wordWrap/>
        <w:topLinePunct w:val="0"/>
        <w:autoSpaceDE/>
        <w:autoSpaceDN/>
        <w:bidi w:val="0"/>
        <w:adjustRightInd/>
        <w:snapToGrid/>
        <w:spacing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低效林改造技术规程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《森林采伐作业规程》《造林技术规程》</w:t>
      </w:r>
      <w:r>
        <w:rPr>
          <w:rFonts w:hint="eastAsia" w:ascii="宋体" w:hAnsi="宋体" w:eastAsia="宋体" w:cs="宋体"/>
          <w:color w:val="auto"/>
          <w:sz w:val="24"/>
          <w:szCs w:val="24"/>
          <w:highlight w:val="none"/>
          <w:lang w:val="en-US" w:eastAsia="zh-CN"/>
        </w:rPr>
        <w:t>等现行国家和行业有关技术规定或标准及本项目作业设计标准。</w:t>
      </w:r>
    </w:p>
    <w:p w14:paraId="3F4C9ECC">
      <w:pPr>
        <w:keepNext w:val="0"/>
        <w:keepLines w:val="0"/>
        <w:pageBreakBefore w:val="0"/>
        <w:widowControl w:val="0"/>
        <w:numPr>
          <w:ilvl w:val="0"/>
          <w:numId w:val="0"/>
        </w:numPr>
        <w:kinsoku/>
        <w:wordWrap/>
        <w:topLinePunct w:val="0"/>
        <w:autoSpaceDE/>
        <w:autoSpaceDN/>
        <w:bidi w:val="0"/>
        <w:adjustRightInd/>
        <w:snapToGrid/>
        <w:spacing w:line="360" w:lineRule="auto"/>
        <w:jc w:val="center"/>
        <w:rPr>
          <w:rFonts w:hint="eastAsia" w:ascii="宋体" w:hAnsi="宋体" w:eastAsia="宋体" w:cs="宋体"/>
          <w:b/>
          <w:bCs/>
          <w:color w:val="auto"/>
          <w:sz w:val="24"/>
          <w:szCs w:val="24"/>
          <w:highlight w:val="none"/>
          <w:lang w:val="en-US" w:eastAsia="zh-CN"/>
        </w:rPr>
      </w:pPr>
    </w:p>
    <w:p w14:paraId="5EB878D4">
      <w:pPr>
        <w:keepNext w:val="0"/>
        <w:keepLines w:val="0"/>
        <w:pageBreakBefore w:val="0"/>
        <w:widowControl w:val="0"/>
        <w:numPr>
          <w:ilvl w:val="0"/>
          <w:numId w:val="0"/>
        </w:numPr>
        <w:kinsoku/>
        <w:wordWrap/>
        <w:topLinePunct w:val="0"/>
        <w:autoSpaceDE/>
        <w:autoSpaceDN/>
        <w:bidi w:val="0"/>
        <w:adjustRightInd/>
        <w:snapToGrid/>
        <w:spacing w:line="360" w:lineRule="auto"/>
        <w:jc w:val="center"/>
        <w:rPr>
          <w:rFonts w:hint="eastAsia" w:ascii="宋体" w:hAnsi="宋体" w:eastAsia="宋体" w:cs="宋体"/>
          <w:b/>
          <w:bCs/>
          <w:color w:val="auto"/>
          <w:sz w:val="24"/>
          <w:szCs w:val="24"/>
          <w:highlight w:val="none"/>
          <w:lang w:val="en-US" w:eastAsia="zh-CN"/>
        </w:rPr>
      </w:pPr>
    </w:p>
    <w:p w14:paraId="15C24664">
      <w:pPr>
        <w:keepNext w:val="0"/>
        <w:keepLines w:val="0"/>
        <w:pageBreakBefore w:val="0"/>
        <w:widowControl w:val="0"/>
        <w:numPr>
          <w:ilvl w:val="0"/>
          <w:numId w:val="0"/>
        </w:numPr>
        <w:kinsoku/>
        <w:wordWrap/>
        <w:topLinePunct w:val="0"/>
        <w:autoSpaceDE/>
        <w:autoSpaceDN/>
        <w:bidi w:val="0"/>
        <w:adjustRightInd/>
        <w:snapToGrid/>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第二标段：幼龄林抚育项目</w:t>
      </w:r>
    </w:p>
    <w:p w14:paraId="3156B3D7">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幼龄林抚育任务</w:t>
      </w:r>
      <w:r>
        <w:rPr>
          <w:rFonts w:hint="eastAsia" w:ascii="宋体" w:hAnsi="宋体" w:eastAsia="宋体" w:cs="宋体"/>
          <w:color w:val="auto"/>
          <w:sz w:val="24"/>
          <w:szCs w:val="24"/>
          <w:highlight w:val="none"/>
        </w:rPr>
        <w:t>共2016.5亩</w:t>
      </w:r>
      <w:r>
        <w:rPr>
          <w:rFonts w:hint="eastAsia" w:ascii="宋体" w:hAnsi="宋体" w:eastAsia="宋体" w:cs="宋体"/>
          <w:color w:val="auto"/>
          <w:sz w:val="24"/>
          <w:szCs w:val="24"/>
          <w:highlight w:val="none"/>
          <w:lang w:val="en-US" w:eastAsia="zh-CN"/>
        </w:rPr>
        <w:t>。</w:t>
      </w:r>
    </w:p>
    <w:p w14:paraId="1624D685">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服务内容</w:t>
      </w:r>
    </w:p>
    <w:p w14:paraId="2A62A9C9">
      <w:pPr>
        <w:pStyle w:val="2"/>
        <w:keepNext w:val="0"/>
        <w:keepLines w:val="0"/>
        <w:pageBreakBefore w:val="0"/>
        <w:widowControl w:val="0"/>
        <w:kinsoku/>
        <w:wordWrap/>
        <w:topLinePunct w:val="0"/>
        <w:autoSpaceDE/>
        <w:autoSpaceDN/>
        <w:bidi w:val="0"/>
        <w:adjustRightInd/>
        <w:snapToGrid/>
        <w:spacing w:line="360" w:lineRule="auto"/>
        <w:ind w:firstLine="5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主要建设内容</w:t>
      </w:r>
      <w:r>
        <w:rPr>
          <w:rFonts w:hint="eastAsia" w:ascii="宋体" w:hAnsi="宋体" w:eastAsia="宋体" w:cs="宋体"/>
          <w:color w:val="auto"/>
          <w:sz w:val="24"/>
          <w:szCs w:val="24"/>
          <w:highlight w:val="none"/>
        </w:rPr>
        <w:t>为幼龄林抚育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规划设计</w:t>
      </w:r>
      <w:r>
        <w:rPr>
          <w:rFonts w:hint="eastAsia" w:ascii="宋体" w:hAnsi="宋体" w:eastAsia="宋体" w:cs="宋体"/>
          <w:color w:val="auto"/>
          <w:sz w:val="24"/>
          <w:szCs w:val="24"/>
          <w:highlight w:val="none"/>
        </w:rPr>
        <w:t>第三营林区14林班的1、2、3、4、6、7、8、9、10小班，总面积2016.5亩，起源为天然林，林种为防护林。</w:t>
      </w:r>
      <w:r>
        <w:rPr>
          <w:rFonts w:hint="eastAsia" w:ascii="宋体" w:hAnsi="宋体" w:eastAsia="宋体" w:cs="宋体"/>
          <w:color w:val="auto"/>
          <w:sz w:val="24"/>
          <w:szCs w:val="24"/>
          <w:highlight w:val="none"/>
          <w:lang w:val="en-US" w:eastAsia="zh-CN"/>
        </w:rPr>
        <w:t>林分现状是以栎类为主的天然次生林，林龄是幼龄林，</w:t>
      </w:r>
      <w:r>
        <w:rPr>
          <w:rFonts w:hint="eastAsia" w:ascii="宋体" w:hAnsi="宋体" w:eastAsia="宋体" w:cs="宋体"/>
          <w:color w:val="auto"/>
          <w:sz w:val="24"/>
          <w:szCs w:val="24"/>
          <w:highlight w:val="none"/>
        </w:rPr>
        <w:t>林龄在15-27年，树高6-12米，郁闭度达到0.8，平均胸径11-23厘米，优势树种为栎类，为过密幼龄林，幼苗、幼树更新频度170-255株/公顷，幼苗、幼树生长状况良好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林木竞争生长较为激烈。可持续经营模式为疏伐+人工促进天然更新。</w:t>
      </w:r>
      <w:r>
        <w:rPr>
          <w:rFonts w:hint="eastAsia" w:ascii="宋体" w:hAnsi="宋体" w:eastAsia="宋体" w:cs="宋体"/>
          <w:color w:val="auto"/>
          <w:sz w:val="24"/>
          <w:szCs w:val="24"/>
          <w:highlight w:val="none"/>
          <w:lang w:val="en-US" w:eastAsia="zh-CN"/>
        </w:rPr>
        <w:t>作业方式为疏伐，以疏伐为主，促进保留林木生长。辅助修枝和割灌，</w:t>
      </w:r>
      <w:r>
        <w:rPr>
          <w:rFonts w:hint="eastAsia" w:ascii="宋体" w:hAnsi="宋体" w:eastAsia="宋体" w:cs="宋体"/>
          <w:color w:val="auto"/>
          <w:sz w:val="24"/>
          <w:szCs w:val="24"/>
          <w:highlight w:val="none"/>
        </w:rPr>
        <w:t>进行人工促进天然更新作业中的割灌除草作业，以促进幼苗幼树生长发育。</w:t>
      </w:r>
      <w:r>
        <w:rPr>
          <w:rFonts w:hint="eastAsia" w:ascii="宋体" w:hAnsi="宋体" w:eastAsia="宋体" w:cs="宋体"/>
          <w:color w:val="auto"/>
          <w:sz w:val="24"/>
          <w:szCs w:val="24"/>
          <w:highlight w:val="none"/>
          <w:lang w:val="en-US" w:eastAsia="zh-CN"/>
        </w:rPr>
        <w:t>采伐作业</w:t>
      </w:r>
      <w:r>
        <w:rPr>
          <w:rFonts w:hint="eastAsia" w:ascii="宋体" w:hAnsi="宋体" w:eastAsia="宋体" w:cs="宋体"/>
          <w:color w:val="auto"/>
          <w:sz w:val="24"/>
          <w:szCs w:val="24"/>
          <w:highlight w:val="none"/>
        </w:rPr>
        <w:t>遵循采劣留优、采弱留壮、采密留均、强度合理的原则，保护好幼苗幼树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伐根高度不超10公分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作业后林分郁闭度不低于0.6，一次降低不超过0.2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作业后林木分布均匀，密度合理、不造成林窗、林中空地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禁止劈裂、撕皮；禁止采伐木砸压、支架、挂靠保留木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采伐剩余物要求整齐摆放或运出。</w:t>
      </w:r>
    </w:p>
    <w:p w14:paraId="24470200">
      <w:pPr>
        <w:keepNext w:val="0"/>
        <w:keepLines w:val="0"/>
        <w:pageBreakBefore w:val="0"/>
        <w:widowControl w:val="0"/>
        <w:numPr>
          <w:ilvl w:val="0"/>
          <w:numId w:val="5"/>
        </w:numPr>
        <w:kinsoku/>
        <w:wordWrap/>
        <w:topLinePunct w:val="0"/>
        <w:autoSpaceDE/>
        <w:autoSpaceDN/>
        <w:bidi w:val="0"/>
        <w:adjustRightInd/>
        <w:snapToGrid/>
        <w:spacing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质量标准</w:t>
      </w:r>
    </w:p>
    <w:p w14:paraId="6FC939D0">
      <w:pPr>
        <w:keepNext w:val="0"/>
        <w:keepLines w:val="0"/>
        <w:pageBreakBefore w:val="0"/>
        <w:widowControl w:val="0"/>
        <w:numPr>
          <w:ilvl w:val="0"/>
          <w:numId w:val="0"/>
        </w:numPr>
        <w:kinsoku/>
        <w:wordWrap/>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《森林抚育规程》《林木采伐技术规程》《森林采伐作业规程》</w:t>
      </w:r>
      <w:r>
        <w:rPr>
          <w:rFonts w:hint="eastAsia" w:ascii="宋体" w:hAnsi="宋体" w:eastAsia="宋体" w:cs="宋体"/>
          <w:color w:val="auto"/>
          <w:sz w:val="24"/>
          <w:szCs w:val="24"/>
          <w:highlight w:val="none"/>
          <w:lang w:val="en-US" w:eastAsia="zh-CN"/>
        </w:rPr>
        <w:t>等现行国家和行业有关技术规定或标准及本项目作业设计标准。</w:t>
      </w:r>
    </w:p>
    <w:bookmarkEnd w:id="162"/>
    <w:p w14:paraId="37888322">
      <w:pPr>
        <w:pStyle w:val="4"/>
        <w:numPr>
          <w:ilvl w:val="0"/>
          <w:numId w:val="1"/>
        </w:numPr>
        <w:spacing w:before="100" w:after="100" w:line="440" w:lineRule="exact"/>
        <w:jc w:val="center"/>
        <w:rPr>
          <w:rFonts w:hint="eastAsia" w:ascii="宋体" w:hAnsi="宋体" w:eastAsia="宋体" w:cs="宋体"/>
          <w:color w:val="auto"/>
          <w:sz w:val="36"/>
          <w:szCs w:val="36"/>
          <w:highlight w:val="none"/>
        </w:rPr>
      </w:pPr>
      <w:bookmarkStart w:id="164" w:name="_Toc6929021"/>
      <w:bookmarkStart w:id="165" w:name="_Toc1316"/>
      <w:bookmarkStart w:id="166" w:name="_Toc142476149"/>
      <w:r>
        <w:rPr>
          <w:rFonts w:hint="eastAsia" w:ascii="宋体" w:hAnsi="宋体" w:eastAsia="宋体" w:cs="宋体"/>
          <w:color w:val="auto"/>
          <w:sz w:val="36"/>
          <w:szCs w:val="36"/>
          <w:highlight w:val="none"/>
        </w:rPr>
        <w:t>投标文件格式</w:t>
      </w:r>
      <w:bookmarkEnd w:id="164"/>
      <w:bookmarkEnd w:id="165"/>
      <w:bookmarkEnd w:id="166"/>
    </w:p>
    <w:p w14:paraId="53C0363C">
      <w:pPr>
        <w:spacing w:line="600" w:lineRule="exact"/>
        <w:rPr>
          <w:rFonts w:hint="eastAsia" w:ascii="宋体" w:hAnsi="宋体" w:eastAsia="宋体" w:cs="宋体"/>
          <w:b/>
          <w:color w:val="auto"/>
          <w:sz w:val="48"/>
          <w:szCs w:val="44"/>
          <w:highlight w:val="none"/>
        </w:rPr>
      </w:pPr>
    </w:p>
    <w:p w14:paraId="724601A7">
      <w:pPr>
        <w:spacing w:line="600" w:lineRule="exact"/>
        <w:jc w:val="center"/>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(项目名称) 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标段</w:t>
      </w:r>
    </w:p>
    <w:p w14:paraId="06EE6704">
      <w:pPr>
        <w:spacing w:before="312" w:beforeLine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0966EE6D">
      <w:pPr>
        <w:spacing w:line="600" w:lineRule="exact"/>
        <w:jc w:val="center"/>
        <w:rPr>
          <w:rFonts w:hint="eastAsia" w:ascii="宋体" w:hAnsi="宋体" w:eastAsia="宋体" w:cs="宋体"/>
          <w:color w:val="auto"/>
          <w:sz w:val="28"/>
          <w:szCs w:val="28"/>
          <w:highlight w:val="none"/>
        </w:rPr>
      </w:pPr>
    </w:p>
    <w:p w14:paraId="625B6B1B">
      <w:pPr>
        <w:spacing w:line="800" w:lineRule="exact"/>
        <w:rPr>
          <w:rFonts w:hint="eastAsia" w:ascii="宋体" w:hAnsi="宋体" w:eastAsia="宋体" w:cs="宋体"/>
          <w:b/>
          <w:bCs/>
          <w:color w:val="auto"/>
          <w:kern w:val="0"/>
          <w:sz w:val="44"/>
          <w:szCs w:val="44"/>
          <w:highlight w:val="none"/>
          <w:u w:val="single"/>
        </w:rPr>
      </w:pPr>
    </w:p>
    <w:p w14:paraId="34678B6C">
      <w:pPr>
        <w:spacing w:before="312" w:beforeLines="100"/>
        <w:jc w:val="center"/>
        <w:rPr>
          <w:rFonts w:hint="eastAsia" w:ascii="宋体" w:hAnsi="宋体" w:eastAsia="宋体" w:cs="宋体"/>
          <w:b/>
          <w:bCs/>
          <w:color w:val="auto"/>
          <w:sz w:val="36"/>
          <w:szCs w:val="36"/>
          <w:highlight w:val="none"/>
        </w:rPr>
      </w:pPr>
    </w:p>
    <w:p w14:paraId="783C385D">
      <w:pPr>
        <w:spacing w:before="312" w:beforeLine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72"/>
          <w:szCs w:val="72"/>
          <w:highlight w:val="none"/>
        </w:rPr>
        <w:t>投标文件</w:t>
      </w:r>
    </w:p>
    <w:p w14:paraId="6B00C778">
      <w:pPr>
        <w:adjustRightInd w:val="0"/>
        <w:snapToGrid w:val="0"/>
        <w:spacing w:line="560" w:lineRule="exact"/>
        <w:jc w:val="center"/>
        <w:rPr>
          <w:rFonts w:hint="eastAsia" w:ascii="宋体" w:hAnsi="宋体" w:eastAsia="宋体" w:cs="宋体"/>
          <w:color w:val="auto"/>
          <w:sz w:val="30"/>
          <w:szCs w:val="30"/>
          <w:highlight w:val="none"/>
        </w:rPr>
      </w:pPr>
    </w:p>
    <w:p w14:paraId="2ECDE00C">
      <w:pPr>
        <w:jc w:val="center"/>
        <w:rPr>
          <w:rFonts w:hint="eastAsia" w:ascii="宋体" w:hAnsi="宋体" w:eastAsia="宋体" w:cs="宋体"/>
          <w:color w:val="auto"/>
          <w:sz w:val="30"/>
          <w:szCs w:val="30"/>
          <w:highlight w:val="none"/>
        </w:rPr>
      </w:pPr>
    </w:p>
    <w:p w14:paraId="111441BF">
      <w:pPr>
        <w:rPr>
          <w:rFonts w:hint="eastAsia" w:ascii="宋体" w:hAnsi="宋体" w:eastAsia="宋体" w:cs="宋体"/>
          <w:color w:val="auto"/>
          <w:sz w:val="24"/>
          <w:szCs w:val="24"/>
          <w:highlight w:val="none"/>
        </w:rPr>
      </w:pPr>
    </w:p>
    <w:p w14:paraId="235AAAC5">
      <w:pPr>
        <w:rPr>
          <w:rFonts w:hint="eastAsia" w:ascii="宋体" w:hAnsi="宋体" w:eastAsia="宋体" w:cs="宋体"/>
          <w:color w:val="auto"/>
          <w:sz w:val="24"/>
          <w:szCs w:val="24"/>
          <w:highlight w:val="none"/>
        </w:rPr>
      </w:pPr>
    </w:p>
    <w:p w14:paraId="61352D33">
      <w:pPr>
        <w:rPr>
          <w:rFonts w:hint="eastAsia" w:ascii="宋体" w:hAnsi="宋体" w:eastAsia="宋体" w:cs="宋体"/>
          <w:color w:val="auto"/>
          <w:sz w:val="24"/>
          <w:szCs w:val="24"/>
          <w:highlight w:val="none"/>
        </w:rPr>
      </w:pPr>
    </w:p>
    <w:p w14:paraId="7C2EDAD7">
      <w:pPr>
        <w:rPr>
          <w:rFonts w:hint="eastAsia" w:ascii="宋体" w:hAnsi="宋体" w:eastAsia="宋体" w:cs="宋体"/>
          <w:color w:val="auto"/>
          <w:sz w:val="24"/>
          <w:szCs w:val="24"/>
          <w:highlight w:val="none"/>
        </w:rPr>
      </w:pPr>
    </w:p>
    <w:p w14:paraId="4A746547">
      <w:pPr>
        <w:rPr>
          <w:rFonts w:hint="eastAsia" w:ascii="宋体" w:hAnsi="宋体" w:eastAsia="宋体" w:cs="宋体"/>
          <w:b/>
          <w:bCs/>
          <w:color w:val="auto"/>
          <w:sz w:val="24"/>
          <w:szCs w:val="24"/>
          <w:highlight w:val="none"/>
        </w:rPr>
      </w:pPr>
    </w:p>
    <w:p w14:paraId="3DA36D57">
      <w:pPr>
        <w:spacing w:line="600" w:lineRule="exact"/>
        <w:ind w:right="56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投标单位：（电子签章）</w:t>
      </w:r>
    </w:p>
    <w:p w14:paraId="64801A38">
      <w:pPr>
        <w:pStyle w:val="14"/>
        <w:rPr>
          <w:rFonts w:hint="eastAsia" w:ascii="宋体" w:hAnsi="宋体" w:eastAsia="宋体" w:cs="宋体"/>
          <w:color w:val="auto"/>
          <w:highlight w:val="none"/>
        </w:rPr>
      </w:pPr>
    </w:p>
    <w:p w14:paraId="1DBC48B4">
      <w:pPr>
        <w:spacing w:line="360" w:lineRule="auto"/>
        <w:ind w:right="560"/>
        <w:jc w:val="center"/>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color w:val="auto"/>
          <w:sz w:val="24"/>
          <w:highlight w:val="none"/>
        </w:rPr>
        <w:t>（</w:t>
      </w:r>
      <w:r>
        <w:rPr>
          <w:rFonts w:hint="eastAsia" w:ascii="宋体" w:hAnsi="宋体" w:eastAsia="宋体" w:cs="宋体"/>
          <w:b/>
          <w:bCs/>
          <w:color w:val="auto"/>
          <w:sz w:val="28"/>
          <w:szCs w:val="28"/>
          <w:highlight w:val="none"/>
        </w:rPr>
        <w:t>电子签章）</w:t>
      </w:r>
    </w:p>
    <w:p w14:paraId="68D7D21C">
      <w:pPr>
        <w:jc w:val="center"/>
        <w:rPr>
          <w:rFonts w:hint="eastAsia" w:ascii="宋体" w:hAnsi="宋体" w:eastAsia="宋体" w:cs="宋体"/>
          <w:color w:val="auto"/>
          <w:sz w:val="24"/>
          <w:szCs w:val="24"/>
          <w:highlight w:val="none"/>
        </w:rPr>
      </w:pPr>
    </w:p>
    <w:p w14:paraId="37A797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  月  日</w:t>
      </w:r>
    </w:p>
    <w:p w14:paraId="51D288E2">
      <w:pPr>
        <w:pStyle w:val="14"/>
        <w:rPr>
          <w:rFonts w:hint="eastAsia" w:ascii="宋体" w:hAnsi="宋体" w:eastAsia="宋体" w:cs="宋体"/>
          <w:color w:val="auto"/>
          <w:highlight w:val="none"/>
        </w:rPr>
      </w:pPr>
    </w:p>
    <w:p w14:paraId="64D31BD8">
      <w:pPr>
        <w:rPr>
          <w:rFonts w:hint="eastAsia" w:ascii="宋体" w:hAnsi="宋体" w:eastAsia="宋体" w:cs="宋体"/>
          <w:color w:val="auto"/>
          <w:highlight w:val="none"/>
        </w:rPr>
      </w:pPr>
    </w:p>
    <w:p w14:paraId="70BEE06B">
      <w:pPr>
        <w:pStyle w:val="14"/>
        <w:rPr>
          <w:rFonts w:hint="eastAsia" w:ascii="宋体" w:hAnsi="宋体" w:eastAsia="宋体" w:cs="宋体"/>
          <w:color w:val="auto"/>
          <w:highlight w:val="none"/>
        </w:rPr>
      </w:pPr>
    </w:p>
    <w:p w14:paraId="3F705767">
      <w:pPr>
        <w:pStyle w:val="13"/>
        <w:ind w:firstLine="240"/>
        <w:rPr>
          <w:rFonts w:hint="eastAsia" w:ascii="宋体" w:hAnsi="宋体" w:eastAsia="宋体" w:cs="宋体"/>
          <w:color w:val="auto"/>
          <w:highlight w:val="none"/>
        </w:rPr>
      </w:pPr>
    </w:p>
    <w:p w14:paraId="2C43CD3E">
      <w:pPr>
        <w:pStyle w:val="5"/>
        <w:bidi w:val="0"/>
        <w:jc w:val="center"/>
        <w:rPr>
          <w:rFonts w:hint="eastAsia" w:ascii="Arial" w:hAnsi="Arial" w:cs="Times New Roman"/>
          <w:b/>
          <w:bCs/>
          <w:color w:val="auto"/>
          <w:highlight w:val="none"/>
          <w:lang w:val="en-US" w:eastAsia="zh-CN"/>
        </w:rPr>
      </w:pPr>
      <w:bookmarkStart w:id="167" w:name="_Toc7204"/>
      <w:bookmarkStart w:id="168" w:name="_Toc11153"/>
      <w:bookmarkStart w:id="169" w:name="_Toc16397"/>
      <w:bookmarkStart w:id="170" w:name="_Toc29869"/>
      <w:bookmarkStart w:id="171" w:name="_Toc23038"/>
      <w:r>
        <w:rPr>
          <w:rFonts w:hint="eastAsia" w:ascii="Arial" w:hAnsi="Arial" w:cs="Times New Roman"/>
          <w:b/>
          <w:bCs/>
          <w:color w:val="auto"/>
          <w:highlight w:val="none"/>
          <w:lang w:val="en-US" w:eastAsia="zh-CN"/>
        </w:rPr>
        <w:t>一、投标函</w:t>
      </w:r>
      <w:bookmarkEnd w:id="167"/>
      <w:bookmarkEnd w:id="168"/>
      <w:bookmarkEnd w:id="169"/>
      <w:bookmarkEnd w:id="170"/>
      <w:bookmarkEnd w:id="171"/>
    </w:p>
    <w:p w14:paraId="4A2313B6">
      <w:pPr>
        <w:spacing w:line="360" w:lineRule="auto"/>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（采购人名称）</w:t>
      </w:r>
    </w:p>
    <w:p w14:paraId="619C4D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根据贵方</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(项目名称及标段)的招标文件，我方针对该项目的投标报价为小写：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元（大写：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），服务期限：</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，质量要求</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3266CA66">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1．我方承诺在投标有效期内不修改、撤销响应文件。</w:t>
      </w:r>
    </w:p>
    <w:p w14:paraId="55CB0E5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2．如我方中标：</w:t>
      </w:r>
    </w:p>
    <w:p w14:paraId="015650A5">
      <w:pPr>
        <w:spacing w:line="360" w:lineRule="auto"/>
        <w:ind w:firstLine="7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（1）我方承诺在收到</w:t>
      </w:r>
      <w:r>
        <w:rPr>
          <w:rFonts w:hint="eastAsia" w:ascii="宋体" w:hAnsi="宋体" w:eastAsia="宋体" w:cs="宋体"/>
          <w:color w:val="auto"/>
          <w:sz w:val="24"/>
          <w:szCs w:val="24"/>
          <w:highlight w:val="none"/>
          <w:lang w:val="en-US" w:eastAsia="zh-CN" w:bidi="ar"/>
        </w:rPr>
        <w:t>中标</w:t>
      </w:r>
      <w:r>
        <w:rPr>
          <w:rFonts w:hint="eastAsia" w:ascii="宋体" w:hAnsi="宋体" w:eastAsia="宋体" w:cs="宋体"/>
          <w:color w:val="auto"/>
          <w:sz w:val="24"/>
          <w:szCs w:val="24"/>
          <w:highlight w:val="none"/>
          <w:lang w:bidi="ar"/>
        </w:rPr>
        <w:t>通知书后，在</w:t>
      </w:r>
      <w:r>
        <w:rPr>
          <w:rFonts w:hint="eastAsia" w:ascii="宋体" w:hAnsi="宋体" w:eastAsia="宋体" w:cs="宋体"/>
          <w:color w:val="auto"/>
          <w:sz w:val="24"/>
          <w:szCs w:val="24"/>
          <w:highlight w:val="none"/>
          <w:lang w:val="en-US" w:eastAsia="zh-CN" w:bidi="ar"/>
        </w:rPr>
        <w:t>中标</w:t>
      </w:r>
      <w:r>
        <w:rPr>
          <w:rFonts w:hint="eastAsia" w:ascii="宋体" w:hAnsi="宋体" w:eastAsia="宋体" w:cs="宋体"/>
          <w:color w:val="auto"/>
          <w:sz w:val="24"/>
          <w:szCs w:val="24"/>
          <w:highlight w:val="none"/>
          <w:lang w:bidi="ar"/>
        </w:rPr>
        <w:t>通知书规定的期限内与你方签订合同。</w:t>
      </w:r>
    </w:p>
    <w:p w14:paraId="467ACBD3">
      <w:pPr>
        <w:spacing w:line="360" w:lineRule="auto"/>
        <w:ind w:firstLine="7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（2）随同本报价函递交的报价一览表属于合同文件的组成部分。</w:t>
      </w:r>
    </w:p>
    <w:p w14:paraId="6EEBD7D2">
      <w:pPr>
        <w:spacing w:line="360" w:lineRule="auto"/>
        <w:ind w:firstLine="7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（3）我方承诺在合同约定的期限内完成合同规定的全部义务。</w:t>
      </w:r>
    </w:p>
    <w:p w14:paraId="6D69FE15">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3．我方在此声明，所递交的响应文件及有关资料内容完整、真实和准确。</w:t>
      </w:r>
    </w:p>
    <w:p w14:paraId="06E734C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4．其他补充说明：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35BFB6DD">
      <w:pPr>
        <w:spacing w:line="360" w:lineRule="auto"/>
        <w:rPr>
          <w:rFonts w:hint="eastAsia" w:ascii="宋体" w:hAnsi="宋体" w:eastAsia="宋体" w:cs="宋体"/>
          <w:color w:val="auto"/>
          <w:sz w:val="24"/>
          <w:szCs w:val="24"/>
          <w:highlight w:val="none"/>
        </w:rPr>
      </w:pPr>
    </w:p>
    <w:p w14:paraId="2B892D17">
      <w:pPr>
        <w:spacing w:line="360" w:lineRule="auto"/>
        <w:rPr>
          <w:rFonts w:hint="eastAsia" w:ascii="宋体" w:hAnsi="宋体" w:eastAsia="宋体" w:cs="宋体"/>
          <w:color w:val="auto"/>
          <w:sz w:val="24"/>
          <w:szCs w:val="24"/>
          <w:highlight w:val="none"/>
        </w:rPr>
      </w:pPr>
    </w:p>
    <w:p w14:paraId="159B7952">
      <w:pPr>
        <w:spacing w:line="360" w:lineRule="auto"/>
        <w:rPr>
          <w:rFonts w:hint="eastAsia" w:ascii="宋体" w:hAnsi="宋体" w:eastAsia="宋体" w:cs="宋体"/>
          <w:color w:val="auto"/>
          <w:sz w:val="24"/>
          <w:szCs w:val="24"/>
          <w:highlight w:val="none"/>
        </w:rPr>
      </w:pPr>
    </w:p>
    <w:p w14:paraId="448FABCD">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2B7A94FC">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2C436C7">
      <w:pPr>
        <w:pStyle w:val="19"/>
        <w:pageBreakBefore w:val="0"/>
        <w:kinsoku/>
        <w:overflowPunct/>
        <w:topLinePunct w:val="0"/>
        <w:bidi w:val="0"/>
        <w:spacing w:line="360" w:lineRule="auto"/>
        <w:ind w:firstLine="3360" w:firstLineChars="1400"/>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
          <w:bCs/>
          <w:color w:val="auto"/>
          <w:highlight w:val="none"/>
        </w:rPr>
        <w:br w:type="page"/>
      </w:r>
    </w:p>
    <w:p w14:paraId="7E4F5D88">
      <w:pPr>
        <w:pStyle w:val="5"/>
        <w:bidi w:val="0"/>
        <w:jc w:val="center"/>
        <w:rPr>
          <w:rFonts w:hint="eastAsia" w:ascii="Arial" w:hAnsi="Arial" w:cs="Times New Roman"/>
          <w:b/>
          <w:bCs/>
          <w:color w:val="auto"/>
          <w:highlight w:val="none"/>
          <w:lang w:val="en-US" w:eastAsia="zh-CN"/>
        </w:rPr>
      </w:pPr>
      <w:bookmarkStart w:id="172" w:name="_Toc30128"/>
      <w:bookmarkStart w:id="173" w:name="_Toc3729"/>
      <w:bookmarkStart w:id="174" w:name="_Toc15140"/>
      <w:bookmarkStart w:id="175" w:name="_Toc303"/>
      <w:bookmarkStart w:id="176" w:name="_Toc310"/>
      <w:r>
        <w:rPr>
          <w:rFonts w:hint="eastAsia" w:ascii="Arial" w:hAnsi="Arial" w:cs="Times New Roman"/>
          <w:b/>
          <w:bCs/>
          <w:color w:val="auto"/>
          <w:highlight w:val="none"/>
          <w:lang w:val="en-US" w:eastAsia="zh-CN"/>
        </w:rPr>
        <w:t>二、</w:t>
      </w:r>
      <w:bookmarkEnd w:id="172"/>
      <w:bookmarkEnd w:id="173"/>
      <w:r>
        <w:rPr>
          <w:rFonts w:hint="eastAsia" w:ascii="Arial" w:hAnsi="Arial" w:cs="Times New Roman"/>
          <w:b/>
          <w:bCs/>
          <w:color w:val="auto"/>
          <w:highlight w:val="none"/>
          <w:lang w:val="en-US" w:eastAsia="zh-CN"/>
        </w:rPr>
        <w:t>开标一览表</w:t>
      </w:r>
    </w:p>
    <w:tbl>
      <w:tblPr>
        <w:tblStyle w:val="15"/>
        <w:tblW w:w="9407" w:type="dxa"/>
        <w:jc w:val="center"/>
        <w:tblLayout w:type="fixed"/>
        <w:tblCellMar>
          <w:top w:w="0" w:type="dxa"/>
          <w:left w:w="0" w:type="dxa"/>
          <w:bottom w:w="0" w:type="dxa"/>
          <w:right w:w="0" w:type="dxa"/>
        </w:tblCellMar>
      </w:tblPr>
      <w:tblGrid>
        <w:gridCol w:w="2400"/>
        <w:gridCol w:w="7007"/>
      </w:tblGrid>
      <w:tr w14:paraId="3F08FA37">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40224C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41899A45">
            <w:pPr>
              <w:widowControl/>
              <w:spacing w:line="360" w:lineRule="auto"/>
              <w:jc w:val="center"/>
              <w:rPr>
                <w:rFonts w:hint="eastAsia" w:ascii="宋体" w:hAnsi="宋体" w:eastAsia="宋体" w:cs="宋体"/>
                <w:color w:val="auto"/>
                <w:sz w:val="24"/>
                <w:szCs w:val="24"/>
                <w:highlight w:val="none"/>
              </w:rPr>
            </w:pPr>
          </w:p>
        </w:tc>
      </w:tr>
      <w:tr w14:paraId="03F6F181">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799034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333A8ABF">
            <w:pPr>
              <w:widowControl/>
              <w:spacing w:line="360" w:lineRule="auto"/>
              <w:jc w:val="center"/>
              <w:rPr>
                <w:rFonts w:hint="eastAsia" w:ascii="宋体" w:hAnsi="宋体" w:eastAsia="宋体" w:cs="宋体"/>
                <w:color w:val="auto"/>
                <w:sz w:val="24"/>
                <w:szCs w:val="24"/>
                <w:highlight w:val="none"/>
              </w:rPr>
            </w:pPr>
          </w:p>
        </w:tc>
      </w:tr>
      <w:tr w14:paraId="11794473">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77A6AC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lang w:eastAsia="zh-CN"/>
              </w:rPr>
              <w:t>标总报</w:t>
            </w:r>
            <w:r>
              <w:rPr>
                <w:rFonts w:hint="eastAsia" w:ascii="宋体" w:hAnsi="宋体" w:eastAsia="宋体" w:cs="宋体"/>
                <w:color w:val="auto"/>
                <w:sz w:val="24"/>
                <w:szCs w:val="24"/>
                <w:highlight w:val="none"/>
              </w:rPr>
              <w:t>价</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6E37B46E">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大写：</w:t>
            </w:r>
          </w:p>
          <w:p w14:paraId="0B110D8A">
            <w:pPr>
              <w:widowControl/>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小写：</w:t>
            </w:r>
          </w:p>
        </w:tc>
      </w:tr>
      <w:tr w14:paraId="74F18352">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33C0F99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服务期限</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38B7262E">
            <w:pPr>
              <w:widowControl/>
              <w:spacing w:line="360" w:lineRule="auto"/>
              <w:jc w:val="center"/>
              <w:rPr>
                <w:rFonts w:hint="eastAsia" w:ascii="宋体" w:hAnsi="宋体" w:eastAsia="宋体" w:cs="宋体"/>
                <w:color w:val="auto"/>
                <w:sz w:val="24"/>
                <w:szCs w:val="24"/>
                <w:highlight w:val="none"/>
              </w:rPr>
            </w:pPr>
          </w:p>
        </w:tc>
      </w:tr>
      <w:tr w14:paraId="207FB0DA">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423A29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服务标准</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245263C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C74EFD1">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27C9A9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项目负责人姓名</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47B448D8">
            <w:pPr>
              <w:rPr>
                <w:rFonts w:hint="eastAsia" w:ascii="宋体" w:hAnsi="宋体" w:eastAsia="宋体" w:cs="宋体"/>
                <w:color w:val="auto"/>
                <w:sz w:val="24"/>
                <w:szCs w:val="24"/>
                <w:highlight w:val="none"/>
              </w:rPr>
            </w:pPr>
          </w:p>
        </w:tc>
      </w:tr>
      <w:tr w14:paraId="39142D44">
        <w:tblPrEx>
          <w:tblCellMar>
            <w:top w:w="0" w:type="dxa"/>
            <w:left w:w="0" w:type="dxa"/>
            <w:bottom w:w="0" w:type="dxa"/>
            <w:right w:w="0" w:type="dxa"/>
          </w:tblCellMar>
        </w:tblPrEx>
        <w:trPr>
          <w:trHeight w:val="927"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2302C1D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7007" w:type="dxa"/>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14:paraId="4C8AB2FF">
            <w:pPr>
              <w:jc w:val="center"/>
              <w:rPr>
                <w:rFonts w:hint="eastAsia" w:ascii="宋体" w:hAnsi="宋体" w:eastAsia="宋体" w:cs="宋体"/>
                <w:color w:val="auto"/>
                <w:sz w:val="24"/>
                <w:szCs w:val="24"/>
                <w:highlight w:val="none"/>
              </w:rPr>
            </w:pPr>
          </w:p>
        </w:tc>
      </w:tr>
      <w:tr w14:paraId="7C9275B8">
        <w:tblPrEx>
          <w:tblCellMar>
            <w:top w:w="0" w:type="dxa"/>
            <w:left w:w="0" w:type="dxa"/>
            <w:bottom w:w="0" w:type="dxa"/>
            <w:right w:w="0" w:type="dxa"/>
          </w:tblCellMar>
        </w:tblPrEx>
        <w:trPr>
          <w:trHeight w:val="1084" w:hRule="atLeast"/>
          <w:jc w:val="center"/>
        </w:trPr>
        <w:tc>
          <w:tcPr>
            <w:tcW w:w="2400"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2C9CF29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c>
          <w:tcPr>
            <w:tcW w:w="7007" w:type="dxa"/>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14:paraId="3BD092B6">
            <w:pPr>
              <w:jc w:val="left"/>
              <w:rPr>
                <w:rFonts w:hint="eastAsia" w:ascii="宋体" w:hAnsi="宋体" w:eastAsia="宋体" w:cs="宋体"/>
                <w:color w:val="auto"/>
                <w:sz w:val="24"/>
                <w:szCs w:val="24"/>
                <w:highlight w:val="none"/>
                <w:lang w:eastAsia="zh-CN"/>
              </w:rPr>
            </w:pPr>
          </w:p>
        </w:tc>
      </w:tr>
    </w:tbl>
    <w:p w14:paraId="779B2072">
      <w:pPr>
        <w:pStyle w:val="2"/>
        <w:pageBreakBefore w:val="0"/>
        <w:kinsoku/>
        <w:overflowPunct/>
        <w:topLinePunct w:val="0"/>
        <w:bidi w:val="0"/>
        <w:spacing w:before="3" w:line="360" w:lineRule="auto"/>
        <w:rPr>
          <w:rFonts w:hint="eastAsia" w:ascii="宋体" w:hAnsi="宋体" w:eastAsia="宋体" w:cs="宋体"/>
          <w:b/>
          <w:color w:val="auto"/>
          <w:sz w:val="28"/>
          <w:highlight w:val="none"/>
        </w:rPr>
      </w:pPr>
    </w:p>
    <w:p w14:paraId="047ED714">
      <w:pPr>
        <w:pageBreakBefore w:val="0"/>
        <w:kinsoku/>
        <w:overflowPunct/>
        <w:topLinePunct w:val="0"/>
        <w:bidi w:val="0"/>
        <w:spacing w:line="360" w:lineRule="auto"/>
        <w:rPr>
          <w:rFonts w:hint="eastAsia" w:ascii="宋体" w:hAnsi="宋体" w:eastAsia="宋体" w:cs="宋体"/>
          <w:color w:val="auto"/>
          <w:sz w:val="24"/>
          <w:szCs w:val="24"/>
          <w:highlight w:val="none"/>
        </w:rPr>
      </w:pPr>
    </w:p>
    <w:p w14:paraId="227E72E5">
      <w:pPr>
        <w:pageBreakBefore w:val="0"/>
        <w:kinsoku/>
        <w:overflowPunct/>
        <w:topLinePunct w:val="0"/>
        <w:bidi w:val="0"/>
        <w:spacing w:line="360" w:lineRule="auto"/>
        <w:rPr>
          <w:rFonts w:hint="eastAsia" w:ascii="宋体" w:hAnsi="宋体" w:eastAsia="宋体" w:cs="宋体"/>
          <w:color w:val="auto"/>
          <w:sz w:val="24"/>
          <w:szCs w:val="24"/>
          <w:highlight w:val="none"/>
        </w:rPr>
      </w:pPr>
    </w:p>
    <w:p w14:paraId="1F8EF919">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2BD1CF11">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6035D1D">
      <w:pPr>
        <w:pStyle w:val="19"/>
        <w:bidi w:val="0"/>
        <w:ind w:firstLine="3523" w:firstLineChars="1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283D14">
      <w:pPr>
        <w:pStyle w:val="5"/>
        <w:bidi w:val="0"/>
        <w:jc w:val="center"/>
        <w:rPr>
          <w:rFonts w:hint="eastAsia" w:ascii="宋体" w:hAnsi="宋体" w:eastAsia="宋体" w:cs="宋体"/>
          <w:b/>
          <w:bCs/>
          <w:color w:val="auto"/>
          <w:sz w:val="40"/>
          <w:szCs w:val="40"/>
          <w:highlight w:val="none"/>
        </w:rPr>
      </w:pPr>
      <w:r>
        <w:rPr>
          <w:rFonts w:hint="eastAsia" w:ascii="宋体" w:hAnsi="宋体" w:eastAsia="宋体" w:cs="宋体"/>
          <w:color w:val="auto"/>
          <w:sz w:val="24"/>
          <w:szCs w:val="24"/>
          <w:highlight w:val="none"/>
        </w:rPr>
        <w:br w:type="page"/>
      </w:r>
      <w:bookmarkEnd w:id="174"/>
      <w:bookmarkEnd w:id="175"/>
      <w:bookmarkEnd w:id="176"/>
      <w:bookmarkStart w:id="177" w:name="_Toc24942"/>
      <w:bookmarkStart w:id="178" w:name="_Toc5796"/>
      <w:r>
        <w:rPr>
          <w:rFonts w:hint="eastAsia" w:ascii="Arial" w:hAnsi="Arial" w:cs="Times New Roman"/>
          <w:b/>
          <w:bCs/>
          <w:color w:val="auto"/>
          <w:highlight w:val="none"/>
          <w:lang w:val="en-US" w:eastAsia="zh-CN"/>
        </w:rPr>
        <w:t>三、法定代表人身份证明</w:t>
      </w:r>
      <w:bookmarkEnd w:id="177"/>
      <w:bookmarkEnd w:id="178"/>
    </w:p>
    <w:p w14:paraId="7DCE879F">
      <w:pPr>
        <w:pStyle w:val="19"/>
        <w:pageBreakBefore w:val="0"/>
        <w:kinsoku/>
        <w:overflowPunct/>
        <w:topLinePunct w:val="0"/>
        <w:bidi w:val="0"/>
        <w:spacing w:line="360" w:lineRule="auto"/>
        <w:rPr>
          <w:rFonts w:hint="eastAsia" w:ascii="宋体" w:hAnsi="宋体" w:eastAsia="宋体" w:cs="宋体"/>
          <w:color w:val="auto"/>
          <w:sz w:val="22"/>
          <w:szCs w:val="22"/>
          <w:highlight w:val="none"/>
        </w:rPr>
      </w:pPr>
    </w:p>
    <w:p w14:paraId="74DE36B5">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465D58">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99F109">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323DB41">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2663DF9A">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D9AB003">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646562A3">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（投标人名称）的法定代表人。</w:t>
      </w:r>
    </w:p>
    <w:p w14:paraId="2F6FB8AD">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FC5C15C">
      <w:pPr>
        <w:pageBreakBefore w:val="0"/>
        <w:kinsoku/>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14:paraId="4324DE9E">
      <w:pPr>
        <w:pageBreakBefore w:val="0"/>
        <w:kinsoku/>
        <w:overflowPunct/>
        <w:topLinePunct w:val="0"/>
        <w:bidi w:val="0"/>
        <w:spacing w:line="360" w:lineRule="auto"/>
        <w:rPr>
          <w:rFonts w:hint="eastAsia" w:ascii="宋体" w:hAnsi="宋体" w:eastAsia="宋体" w:cs="宋体"/>
          <w:color w:val="auto"/>
          <w:sz w:val="24"/>
          <w:szCs w:val="24"/>
          <w:highlight w:val="none"/>
        </w:rPr>
      </w:pPr>
    </w:p>
    <w:p w14:paraId="3AAA2681">
      <w:pPr>
        <w:pageBreakBefore w:val="0"/>
        <w:kinsoku/>
        <w:overflowPunct/>
        <w:topLinePunct w:val="0"/>
        <w:bidi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34A91EF3">
      <w:pPr>
        <w:pageBreakBefore w:val="0"/>
        <w:kinsoku/>
        <w:wordWrap w:val="0"/>
        <w:overflowPunct/>
        <w:topLinePunct w:val="0"/>
        <w:bidi w:val="0"/>
        <w:spacing w:line="36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p>
    <w:p w14:paraId="028EE829">
      <w:pPr>
        <w:pageBreakBefore w:val="0"/>
        <w:kinsoku/>
        <w:overflowPunct/>
        <w:topLinePunct w:val="0"/>
        <w:bidi w:val="0"/>
        <w:spacing w:line="360" w:lineRule="auto"/>
        <w:rPr>
          <w:rFonts w:hint="eastAsia" w:ascii="宋体" w:hAnsi="宋体" w:eastAsia="宋体" w:cs="宋体"/>
          <w:color w:val="auto"/>
          <w:sz w:val="24"/>
          <w:szCs w:val="24"/>
          <w:highlight w:val="none"/>
        </w:rPr>
      </w:pPr>
    </w:p>
    <w:p w14:paraId="41C5C787">
      <w:pPr>
        <w:pStyle w:val="19"/>
        <w:pageBreakBefore w:val="0"/>
        <w:kinsoku/>
        <w:overflowPunct/>
        <w:topLinePunct w:val="0"/>
        <w:bidi w:val="0"/>
        <w:spacing w:line="360" w:lineRule="auto"/>
        <w:rPr>
          <w:rFonts w:hint="eastAsia" w:ascii="宋体" w:hAnsi="宋体" w:eastAsia="宋体" w:cs="宋体"/>
          <w:color w:val="auto"/>
          <w:sz w:val="22"/>
          <w:szCs w:val="22"/>
          <w:highlight w:val="none"/>
        </w:rPr>
      </w:pPr>
    </w:p>
    <w:p w14:paraId="630FE22B">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7DD3B83B">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65A64534">
      <w:pPr>
        <w:pStyle w:val="5"/>
        <w:bidi w:val="0"/>
        <w:jc w:val="center"/>
        <w:rPr>
          <w:rFonts w:hint="eastAsia" w:ascii="新宋体" w:hAnsi="新宋体" w:eastAsia="新宋体" w:cs="新宋体"/>
          <w:color w:val="auto"/>
          <w:sz w:val="30"/>
          <w:highlight w:val="none"/>
        </w:rPr>
      </w:pPr>
      <w:r>
        <w:rPr>
          <w:rFonts w:hint="eastAsia" w:ascii="宋体" w:hAnsi="宋体" w:eastAsia="宋体" w:cs="宋体"/>
          <w:color w:val="auto"/>
          <w:sz w:val="22"/>
          <w:szCs w:val="22"/>
          <w:highlight w:val="none"/>
        </w:rPr>
        <w:br w:type="page"/>
      </w:r>
      <w:bookmarkStart w:id="179" w:name="_Toc14945"/>
      <w:bookmarkStart w:id="180" w:name="_Toc15137"/>
      <w:bookmarkStart w:id="181" w:name="_Toc3130"/>
      <w:r>
        <w:rPr>
          <w:rFonts w:hint="eastAsia" w:ascii="新宋体" w:hAnsi="新宋体" w:eastAsia="新宋体" w:cs="新宋体"/>
          <w:color w:val="auto"/>
          <w:sz w:val="30"/>
          <w:highlight w:val="none"/>
        </w:rPr>
        <w:t>四、法定代表人授权委托书</w:t>
      </w:r>
      <w:bookmarkEnd w:id="179"/>
      <w:bookmarkEnd w:id="180"/>
      <w:bookmarkEnd w:id="181"/>
    </w:p>
    <w:p w14:paraId="61ACFB84">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本人</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（姓名）系</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投标人</w:t>
      </w:r>
      <w:r>
        <w:rPr>
          <w:rFonts w:hint="eastAsia" w:ascii="新宋体" w:hAnsi="新宋体" w:eastAsia="新宋体" w:cs="新宋体"/>
          <w:color w:val="auto"/>
          <w:sz w:val="24"/>
          <w:szCs w:val="24"/>
          <w:highlight w:val="none"/>
        </w:rPr>
        <w:t>名称）的法定代表人，现委托</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（姓名）为我方代理人。代理人根据授权，以我方名义签署、澄清、说明、补正、递交、撤回、修改</w:t>
      </w:r>
      <w:r>
        <w:rPr>
          <w:rFonts w:hint="eastAsia" w:ascii="新宋体" w:hAnsi="新宋体" w:eastAsia="新宋体" w:cs="新宋体"/>
          <w:color w:val="auto"/>
          <w:sz w:val="24"/>
          <w:szCs w:val="24"/>
          <w:highlight w:val="none"/>
          <w:u w:val="single"/>
        </w:rPr>
        <w:t xml:space="preserve">       （项目名称</w:t>
      </w:r>
      <w:r>
        <w:rPr>
          <w:rFonts w:hint="eastAsia" w:ascii="新宋体" w:hAnsi="新宋体" w:eastAsia="新宋体" w:cs="新宋体"/>
          <w:color w:val="auto"/>
          <w:sz w:val="24"/>
          <w:szCs w:val="24"/>
          <w:highlight w:val="none"/>
          <w:u w:val="single"/>
          <w:lang w:eastAsia="zh-CN"/>
        </w:rPr>
        <w:t>、</w:t>
      </w:r>
      <w:r>
        <w:rPr>
          <w:rFonts w:hint="eastAsia" w:ascii="新宋体" w:hAnsi="新宋体" w:eastAsia="新宋体" w:cs="新宋体"/>
          <w:color w:val="auto"/>
          <w:sz w:val="24"/>
          <w:szCs w:val="24"/>
          <w:highlight w:val="none"/>
          <w:u w:val="single"/>
          <w:lang w:val="en-US" w:eastAsia="zh-CN"/>
        </w:rPr>
        <w:t>标段</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响应文件、签订合同和处理有关事宜，其法律后果由我方承担。</w:t>
      </w:r>
    </w:p>
    <w:p w14:paraId="108E5B6C">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委托期限：</w:t>
      </w:r>
      <w:r>
        <w:rPr>
          <w:rFonts w:hint="eastAsia" w:ascii="新宋体" w:hAnsi="新宋体" w:eastAsia="新宋体" w:cs="新宋体"/>
          <w:color w:val="auto"/>
          <w:sz w:val="24"/>
          <w:szCs w:val="24"/>
          <w:highlight w:val="none"/>
          <w:u w:val="single"/>
        </w:rPr>
        <w:t xml:space="preserve">                                </w:t>
      </w:r>
    </w:p>
    <w:p w14:paraId="70B60BF1">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代理人无转委托权。</w:t>
      </w:r>
    </w:p>
    <w:p w14:paraId="705EBDF9">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附：</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及</w:t>
      </w:r>
      <w:r>
        <w:rPr>
          <w:rFonts w:hint="eastAsia" w:ascii="新宋体" w:hAnsi="新宋体" w:eastAsia="新宋体" w:cs="新宋体"/>
          <w:color w:val="auto"/>
          <w:sz w:val="24"/>
          <w:szCs w:val="24"/>
          <w:highlight w:val="none"/>
        </w:rPr>
        <w:t>委托代理人身份证复印件正反面</w:t>
      </w:r>
    </w:p>
    <w:p w14:paraId="1B689333">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2D731198">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33550B43">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64AF08DA">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14:paraId="1B397372">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285EEB1">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14:paraId="13A7ACEE">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21485C4E">
      <w:pPr>
        <w:pageBreakBefore w:val="0"/>
        <w:kinsoku/>
        <w:overflowPunct/>
        <w:topLinePunct w:val="0"/>
        <w:bidi w:val="0"/>
        <w:spacing w:line="360" w:lineRule="auto"/>
        <w:ind w:firstLine="2640" w:firstLineChars="1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A87CA52">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79970F5D">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2FAC1125">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6F211D72">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7400D873">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190E9A3F">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57E25172">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31BFEF02">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782BC2B2">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p>
    <w:p w14:paraId="6F81B940">
      <w:pPr>
        <w:pStyle w:val="5"/>
        <w:bidi w:val="0"/>
        <w:jc w:val="center"/>
        <w:rPr>
          <w:rFonts w:hint="eastAsia" w:ascii="Arial" w:hAnsi="Arial" w:cs="Times New Roman"/>
          <w:b/>
          <w:bCs/>
          <w:color w:val="auto"/>
          <w:highlight w:val="none"/>
          <w:lang w:val="en-US" w:eastAsia="zh-CN"/>
        </w:rPr>
      </w:pPr>
      <w:bookmarkStart w:id="182" w:name="_Toc9473"/>
      <w:bookmarkStart w:id="183" w:name="_Toc10566"/>
      <w:r>
        <w:rPr>
          <w:rFonts w:hint="eastAsia" w:ascii="Arial" w:hAnsi="Arial" w:cs="Times New Roman"/>
          <w:b/>
          <w:bCs/>
          <w:color w:val="auto"/>
          <w:highlight w:val="none"/>
          <w:lang w:val="en-US" w:eastAsia="zh-CN"/>
        </w:rPr>
        <w:br w:type="page"/>
      </w:r>
      <w:r>
        <w:rPr>
          <w:rFonts w:hint="eastAsia" w:ascii="Arial" w:hAnsi="Arial" w:cs="Times New Roman"/>
          <w:b/>
          <w:bCs/>
          <w:color w:val="auto"/>
          <w:highlight w:val="none"/>
          <w:lang w:val="en-US" w:eastAsia="zh-CN"/>
        </w:rPr>
        <w:t>五、投标人承诺</w:t>
      </w:r>
      <w:bookmarkEnd w:id="182"/>
      <w:bookmarkEnd w:id="183"/>
    </w:p>
    <w:p w14:paraId="7528881F">
      <w:pPr>
        <w:pageBreakBefore w:val="0"/>
        <w:widowControl/>
        <w:kinsoku/>
        <w:wordWrap/>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bookmarkStart w:id="184" w:name="_Hlk60751458"/>
      <w:r>
        <w:rPr>
          <w:rFonts w:hint="eastAsia" w:ascii="宋体" w:hAnsi="宋体" w:eastAsia="宋体" w:cs="宋体"/>
          <w:color w:val="auto"/>
          <w:sz w:val="24"/>
          <w:szCs w:val="24"/>
          <w:highlight w:val="none"/>
        </w:rPr>
        <w:t>投标人描述招标文件要求的各项承诺及投标人认为有必要承诺的其他服务承诺，包括但不限于以下承诺：（承诺书格式自定）</w:t>
      </w:r>
    </w:p>
    <w:p w14:paraId="05D86175">
      <w:pPr>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（1）投标文件不含有采购人不能接受的附加条件；</w:t>
      </w:r>
    </w:p>
    <w:p w14:paraId="4D888C57">
      <w:pPr>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（2）遵循公平竞争的原则，没有弄虚作假、恶意串通或妨碍其他投标人的竞争行为，损害采购人或者其他投标人的合法权益；</w:t>
      </w:r>
    </w:p>
    <w:p w14:paraId="26625539">
      <w:pPr>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（3）招标代理服务费承诺</w:t>
      </w:r>
      <w:r>
        <w:rPr>
          <w:rFonts w:hint="eastAsia" w:ascii="宋体" w:hAnsi="宋体" w:eastAsia="宋体" w:cs="宋体"/>
          <w:color w:val="auto"/>
          <w:sz w:val="24"/>
          <w:szCs w:val="24"/>
          <w:highlight w:val="none"/>
          <w:lang w:eastAsia="zh-CN"/>
        </w:rPr>
        <w:t>。</w:t>
      </w:r>
    </w:p>
    <w:bookmarkEnd w:id="184"/>
    <w:p w14:paraId="09E6B3F3">
      <w:pPr>
        <w:pStyle w:val="2"/>
        <w:pageBreakBefore w:val="0"/>
        <w:kinsoku/>
        <w:overflowPunct/>
        <w:topLinePunct w:val="0"/>
        <w:bidi w:val="0"/>
        <w:spacing w:line="360" w:lineRule="auto"/>
        <w:rPr>
          <w:rFonts w:hint="eastAsia" w:ascii="宋体" w:hAnsi="宋体" w:eastAsia="宋体" w:cs="宋体"/>
          <w:color w:val="auto"/>
          <w:highlight w:val="none"/>
        </w:rPr>
      </w:pPr>
    </w:p>
    <w:p w14:paraId="5B9C34BC">
      <w:pPr>
        <w:pageBreakBefore w:val="0"/>
        <w:kinsoku/>
        <w:overflowPunct/>
        <w:topLinePunct w:val="0"/>
        <w:bidi w:val="0"/>
        <w:spacing w:line="360" w:lineRule="auto"/>
        <w:rPr>
          <w:rFonts w:hint="eastAsia" w:ascii="宋体" w:hAnsi="宋体" w:eastAsia="宋体" w:cs="宋体"/>
          <w:color w:val="auto"/>
          <w:sz w:val="22"/>
          <w:szCs w:val="22"/>
          <w:highlight w:val="none"/>
        </w:rPr>
      </w:pPr>
    </w:p>
    <w:p w14:paraId="4CF0D197">
      <w:pPr>
        <w:pStyle w:val="19"/>
        <w:pageBreakBefore w:val="0"/>
        <w:kinsoku/>
        <w:overflowPunct/>
        <w:topLinePunct w:val="0"/>
        <w:bidi w:val="0"/>
        <w:spacing w:line="360" w:lineRule="auto"/>
        <w:ind w:firstLine="0"/>
        <w:rPr>
          <w:rFonts w:hint="eastAsia" w:ascii="宋体" w:hAnsi="宋体" w:eastAsia="宋体" w:cs="宋体"/>
          <w:color w:val="auto"/>
          <w:sz w:val="22"/>
          <w:szCs w:val="22"/>
          <w:highlight w:val="none"/>
        </w:rPr>
      </w:pPr>
      <w:r>
        <w:rPr>
          <w:rFonts w:hint="eastAsia" w:ascii="宋体" w:hAnsi="宋体" w:eastAsia="宋体" w:cs="宋体"/>
          <w:color w:val="auto"/>
          <w:sz w:val="32"/>
          <w:szCs w:val="32"/>
          <w:highlight w:val="none"/>
        </w:rPr>
        <w:br w:type="page"/>
      </w:r>
    </w:p>
    <w:p w14:paraId="4E308B59">
      <w:pPr>
        <w:pStyle w:val="5"/>
        <w:bidi w:val="0"/>
        <w:jc w:val="center"/>
        <w:rPr>
          <w:rFonts w:hint="eastAsia" w:ascii="Arial" w:hAnsi="Arial" w:cs="Times New Roman"/>
          <w:b/>
          <w:bCs/>
          <w:color w:val="auto"/>
          <w:highlight w:val="none"/>
          <w:lang w:val="en-US" w:eastAsia="zh-CN"/>
        </w:rPr>
      </w:pPr>
      <w:bookmarkStart w:id="185" w:name="_Toc18325"/>
      <w:bookmarkStart w:id="186" w:name="_Toc18383"/>
      <w:r>
        <w:rPr>
          <w:rFonts w:hint="eastAsia" w:ascii="Arial" w:hAnsi="Arial" w:cs="Times New Roman"/>
          <w:b/>
          <w:bCs/>
          <w:color w:val="auto"/>
          <w:highlight w:val="none"/>
          <w:lang w:val="en-US" w:eastAsia="zh-CN"/>
        </w:rPr>
        <w:t>六、</w:t>
      </w:r>
      <w:bookmarkEnd w:id="185"/>
      <w:bookmarkEnd w:id="186"/>
      <w:bookmarkStart w:id="187" w:name="_Toc6032"/>
      <w:bookmarkStart w:id="188" w:name="_Toc19779"/>
      <w:bookmarkStart w:id="189" w:name="_Toc25174"/>
      <w:bookmarkStart w:id="190" w:name="_Toc29796"/>
      <w:r>
        <w:rPr>
          <w:rFonts w:hint="eastAsia" w:ascii="Arial" w:hAnsi="Arial" w:cs="Times New Roman"/>
          <w:b/>
          <w:bCs/>
          <w:color w:val="auto"/>
          <w:highlight w:val="none"/>
          <w:lang w:val="en-US" w:eastAsia="zh-CN"/>
        </w:rPr>
        <w:t>项目人员配备情况表</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98"/>
        <w:gridCol w:w="1541"/>
        <w:gridCol w:w="1499"/>
        <w:gridCol w:w="1833"/>
        <w:gridCol w:w="1189"/>
      </w:tblGrid>
      <w:tr w14:paraId="1028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47F2AA6B">
            <w:pPr>
              <w:spacing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8" w:type="dxa"/>
            <w:tcBorders>
              <w:top w:val="single" w:color="auto" w:sz="4" w:space="0"/>
              <w:left w:val="nil"/>
              <w:bottom w:val="single" w:color="auto" w:sz="4" w:space="0"/>
              <w:right w:val="single" w:color="auto" w:sz="4" w:space="0"/>
            </w:tcBorders>
            <w:noWrap w:val="0"/>
            <w:vAlign w:val="center"/>
          </w:tcPr>
          <w:p w14:paraId="63DF32C0">
            <w:pPr>
              <w:spacing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41" w:type="dxa"/>
            <w:tcBorders>
              <w:top w:val="single" w:color="auto" w:sz="4" w:space="0"/>
              <w:left w:val="nil"/>
              <w:bottom w:val="single" w:color="auto" w:sz="4" w:space="0"/>
              <w:right w:val="single" w:color="auto" w:sz="4" w:space="0"/>
            </w:tcBorders>
            <w:noWrap w:val="0"/>
            <w:vAlign w:val="center"/>
          </w:tcPr>
          <w:p w14:paraId="57A97FBF">
            <w:pPr>
              <w:spacing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499" w:type="dxa"/>
            <w:tcBorders>
              <w:top w:val="single" w:color="auto" w:sz="4" w:space="0"/>
              <w:left w:val="nil"/>
              <w:bottom w:val="single" w:color="auto" w:sz="4" w:space="0"/>
              <w:right w:val="single" w:color="auto" w:sz="4" w:space="0"/>
            </w:tcBorders>
            <w:noWrap w:val="0"/>
            <w:vAlign w:val="center"/>
          </w:tcPr>
          <w:p w14:paraId="202EB5E3">
            <w:pPr>
              <w:snapToGrid w:val="0"/>
              <w:spacing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从业时间</w:t>
            </w:r>
          </w:p>
        </w:tc>
        <w:tc>
          <w:tcPr>
            <w:tcW w:w="1833" w:type="dxa"/>
            <w:tcBorders>
              <w:top w:val="single" w:color="auto" w:sz="4" w:space="0"/>
              <w:left w:val="nil"/>
              <w:bottom w:val="single" w:color="auto" w:sz="4" w:space="0"/>
              <w:right w:val="single" w:color="auto" w:sz="4" w:space="0"/>
            </w:tcBorders>
            <w:noWrap w:val="0"/>
            <w:vAlign w:val="center"/>
          </w:tcPr>
          <w:p w14:paraId="7B542002">
            <w:pPr>
              <w:snapToGrid w:val="0"/>
              <w:spacing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计划安排岗位</w:t>
            </w:r>
          </w:p>
        </w:tc>
        <w:tc>
          <w:tcPr>
            <w:tcW w:w="1189" w:type="dxa"/>
            <w:tcBorders>
              <w:top w:val="single" w:color="auto" w:sz="4" w:space="0"/>
              <w:left w:val="nil"/>
              <w:bottom w:val="single" w:color="auto" w:sz="4" w:space="0"/>
              <w:right w:val="single" w:color="auto" w:sz="4" w:space="0"/>
            </w:tcBorders>
            <w:noWrap w:val="0"/>
            <w:vAlign w:val="center"/>
          </w:tcPr>
          <w:p w14:paraId="45565EB8">
            <w:pPr>
              <w:spacing w:line="5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146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1FB83F83">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112404BF">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600DEF33">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083ADDB2">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16D566D7">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279B434B">
            <w:pPr>
              <w:spacing w:line="500" w:lineRule="exact"/>
              <w:jc w:val="center"/>
              <w:textAlignment w:val="baseline"/>
              <w:rPr>
                <w:rFonts w:hint="eastAsia" w:ascii="宋体" w:hAnsi="宋体" w:eastAsia="宋体" w:cs="宋体"/>
                <w:color w:val="auto"/>
                <w:sz w:val="24"/>
                <w:szCs w:val="24"/>
                <w:highlight w:val="none"/>
              </w:rPr>
            </w:pPr>
          </w:p>
        </w:tc>
      </w:tr>
      <w:tr w14:paraId="3D44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04D67547">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5C4C5D7A">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616E5A86">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05AF647F">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7A7ABCDE">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1BDC8C33">
            <w:pPr>
              <w:spacing w:line="500" w:lineRule="exact"/>
              <w:jc w:val="center"/>
              <w:textAlignment w:val="baseline"/>
              <w:rPr>
                <w:rFonts w:hint="eastAsia" w:ascii="宋体" w:hAnsi="宋体" w:eastAsia="宋体" w:cs="宋体"/>
                <w:color w:val="auto"/>
                <w:sz w:val="24"/>
                <w:szCs w:val="24"/>
                <w:highlight w:val="none"/>
              </w:rPr>
            </w:pPr>
          </w:p>
        </w:tc>
      </w:tr>
      <w:tr w14:paraId="2154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21A58CDF">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67900B4D">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228B3806">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601C66D3">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07BBB433">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7EFFD7BB">
            <w:pPr>
              <w:spacing w:line="500" w:lineRule="exact"/>
              <w:jc w:val="center"/>
              <w:textAlignment w:val="baseline"/>
              <w:rPr>
                <w:rFonts w:hint="eastAsia" w:ascii="宋体" w:hAnsi="宋体" w:eastAsia="宋体" w:cs="宋体"/>
                <w:color w:val="auto"/>
                <w:sz w:val="24"/>
                <w:szCs w:val="24"/>
                <w:highlight w:val="none"/>
              </w:rPr>
            </w:pPr>
          </w:p>
        </w:tc>
      </w:tr>
      <w:tr w14:paraId="02E4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1EBA943E">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5D7EB01B">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5C91ACA9">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0D887C1F">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3F33E21D">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23502E5E">
            <w:pPr>
              <w:spacing w:line="500" w:lineRule="exact"/>
              <w:jc w:val="center"/>
              <w:textAlignment w:val="baseline"/>
              <w:rPr>
                <w:rFonts w:hint="eastAsia" w:ascii="宋体" w:hAnsi="宋体" w:eastAsia="宋体" w:cs="宋体"/>
                <w:color w:val="auto"/>
                <w:sz w:val="24"/>
                <w:szCs w:val="24"/>
                <w:highlight w:val="none"/>
              </w:rPr>
            </w:pPr>
          </w:p>
        </w:tc>
      </w:tr>
      <w:tr w14:paraId="5B6B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794106F2">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03644FFF">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2F63E49F">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2B1A164B">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5933D57C">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0CEA73C6">
            <w:pPr>
              <w:spacing w:line="500" w:lineRule="exact"/>
              <w:jc w:val="center"/>
              <w:textAlignment w:val="baseline"/>
              <w:rPr>
                <w:rFonts w:hint="eastAsia" w:ascii="宋体" w:hAnsi="宋体" w:eastAsia="宋体" w:cs="宋体"/>
                <w:color w:val="auto"/>
                <w:sz w:val="24"/>
                <w:szCs w:val="24"/>
                <w:highlight w:val="none"/>
              </w:rPr>
            </w:pPr>
          </w:p>
        </w:tc>
      </w:tr>
      <w:tr w14:paraId="32B5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135809C1">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0B517E1F">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1445B9C8">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74D0B419">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07F4672B">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7A63BF00">
            <w:pPr>
              <w:spacing w:line="500" w:lineRule="exact"/>
              <w:jc w:val="center"/>
              <w:textAlignment w:val="baseline"/>
              <w:rPr>
                <w:rFonts w:hint="eastAsia" w:ascii="宋体" w:hAnsi="宋体" w:eastAsia="宋体" w:cs="宋体"/>
                <w:color w:val="auto"/>
                <w:sz w:val="24"/>
                <w:szCs w:val="24"/>
                <w:highlight w:val="none"/>
              </w:rPr>
            </w:pPr>
          </w:p>
        </w:tc>
      </w:tr>
      <w:tr w14:paraId="084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0B50A68E">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4A403006">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2E96DEE5">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0737909B">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76F8D5DE">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6CE19575">
            <w:pPr>
              <w:spacing w:line="500" w:lineRule="exact"/>
              <w:jc w:val="center"/>
              <w:textAlignment w:val="baseline"/>
              <w:rPr>
                <w:rFonts w:hint="eastAsia" w:ascii="宋体" w:hAnsi="宋体" w:eastAsia="宋体" w:cs="宋体"/>
                <w:color w:val="auto"/>
                <w:sz w:val="24"/>
                <w:szCs w:val="24"/>
                <w:highlight w:val="none"/>
              </w:rPr>
            </w:pPr>
          </w:p>
        </w:tc>
      </w:tr>
      <w:tr w14:paraId="08EF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4179CEAB">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758A0409">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4F0BB77B">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3F31F66A">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6B55626C">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388F6F52">
            <w:pPr>
              <w:spacing w:line="500" w:lineRule="exact"/>
              <w:jc w:val="center"/>
              <w:textAlignment w:val="baseline"/>
              <w:rPr>
                <w:rFonts w:hint="eastAsia" w:ascii="宋体" w:hAnsi="宋体" w:eastAsia="宋体" w:cs="宋体"/>
                <w:color w:val="auto"/>
                <w:sz w:val="24"/>
                <w:szCs w:val="24"/>
                <w:highlight w:val="none"/>
              </w:rPr>
            </w:pPr>
          </w:p>
        </w:tc>
      </w:tr>
      <w:tr w14:paraId="47A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1A147F67">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075D88B1">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0339EADE">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688DF016">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54576564">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2DFB0ADA">
            <w:pPr>
              <w:spacing w:line="500" w:lineRule="exact"/>
              <w:jc w:val="center"/>
              <w:textAlignment w:val="baseline"/>
              <w:rPr>
                <w:rFonts w:hint="eastAsia" w:ascii="宋体" w:hAnsi="宋体" w:eastAsia="宋体" w:cs="宋体"/>
                <w:color w:val="auto"/>
                <w:sz w:val="24"/>
                <w:szCs w:val="24"/>
                <w:highlight w:val="none"/>
              </w:rPr>
            </w:pPr>
          </w:p>
        </w:tc>
      </w:tr>
      <w:tr w14:paraId="1D4C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2E301FE1">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6CC3F634">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54C490EC">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7DE71D0D">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2C759240">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3AFBDDE0">
            <w:pPr>
              <w:spacing w:line="500" w:lineRule="exact"/>
              <w:jc w:val="center"/>
              <w:textAlignment w:val="baseline"/>
              <w:rPr>
                <w:rFonts w:hint="eastAsia" w:ascii="宋体" w:hAnsi="宋体" w:eastAsia="宋体" w:cs="宋体"/>
                <w:color w:val="auto"/>
                <w:sz w:val="24"/>
                <w:szCs w:val="24"/>
                <w:highlight w:val="none"/>
              </w:rPr>
            </w:pPr>
          </w:p>
        </w:tc>
      </w:tr>
      <w:tr w14:paraId="0E0E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00693AA0">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612BC16A">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49635314">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4910ECAD">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63F3668C">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1FDCEE84">
            <w:pPr>
              <w:spacing w:line="500" w:lineRule="exact"/>
              <w:jc w:val="center"/>
              <w:textAlignment w:val="baseline"/>
              <w:rPr>
                <w:rFonts w:hint="eastAsia" w:ascii="宋体" w:hAnsi="宋体" w:eastAsia="宋体" w:cs="宋体"/>
                <w:color w:val="auto"/>
                <w:sz w:val="24"/>
                <w:szCs w:val="24"/>
                <w:highlight w:val="none"/>
              </w:rPr>
            </w:pPr>
          </w:p>
        </w:tc>
      </w:tr>
      <w:tr w14:paraId="556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53F230A5">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4A12E7D1">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1F13F7EF">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7DA5E7A5">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37E6ECCA">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2EBDA022">
            <w:pPr>
              <w:spacing w:line="500" w:lineRule="exact"/>
              <w:jc w:val="center"/>
              <w:textAlignment w:val="baseline"/>
              <w:rPr>
                <w:rFonts w:hint="eastAsia" w:ascii="宋体" w:hAnsi="宋体" w:eastAsia="宋体" w:cs="宋体"/>
                <w:color w:val="auto"/>
                <w:sz w:val="24"/>
                <w:szCs w:val="24"/>
                <w:highlight w:val="none"/>
              </w:rPr>
            </w:pPr>
          </w:p>
        </w:tc>
      </w:tr>
      <w:tr w14:paraId="674A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5D59E1BD">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78687C28">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5D6696AE">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4FA7D151">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722986C5">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2DB24DE0">
            <w:pPr>
              <w:spacing w:line="500" w:lineRule="exact"/>
              <w:jc w:val="center"/>
              <w:textAlignment w:val="baseline"/>
              <w:rPr>
                <w:rFonts w:hint="eastAsia" w:ascii="宋体" w:hAnsi="宋体" w:eastAsia="宋体" w:cs="宋体"/>
                <w:color w:val="auto"/>
                <w:sz w:val="24"/>
                <w:szCs w:val="24"/>
                <w:highlight w:val="none"/>
              </w:rPr>
            </w:pPr>
          </w:p>
        </w:tc>
      </w:tr>
      <w:tr w14:paraId="5060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76F85A2B">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082EB363">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5BB4E0EF">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719D3154">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2AFDB7E5">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251E6754">
            <w:pPr>
              <w:spacing w:line="500" w:lineRule="exact"/>
              <w:jc w:val="center"/>
              <w:textAlignment w:val="baseline"/>
              <w:rPr>
                <w:rFonts w:hint="eastAsia" w:ascii="宋体" w:hAnsi="宋体" w:eastAsia="宋体" w:cs="宋体"/>
                <w:color w:val="auto"/>
                <w:sz w:val="24"/>
                <w:szCs w:val="24"/>
                <w:highlight w:val="none"/>
              </w:rPr>
            </w:pPr>
          </w:p>
        </w:tc>
      </w:tr>
      <w:tr w14:paraId="141E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2A4A6B5B">
            <w:pPr>
              <w:spacing w:line="500" w:lineRule="exact"/>
              <w:jc w:val="center"/>
              <w:textAlignment w:val="baseline"/>
              <w:rPr>
                <w:rFonts w:hint="eastAsia" w:ascii="宋体" w:hAnsi="宋体" w:eastAsia="宋体" w:cs="宋体"/>
                <w:color w:val="auto"/>
                <w:sz w:val="24"/>
                <w:szCs w:val="24"/>
                <w:highlight w:val="none"/>
              </w:rPr>
            </w:pPr>
          </w:p>
        </w:tc>
        <w:tc>
          <w:tcPr>
            <w:tcW w:w="1598" w:type="dxa"/>
            <w:tcBorders>
              <w:top w:val="single" w:color="auto" w:sz="4" w:space="0"/>
              <w:left w:val="nil"/>
              <w:bottom w:val="single" w:color="auto" w:sz="4" w:space="0"/>
              <w:right w:val="single" w:color="auto" w:sz="4" w:space="0"/>
            </w:tcBorders>
            <w:noWrap w:val="0"/>
            <w:vAlign w:val="center"/>
          </w:tcPr>
          <w:p w14:paraId="38198402">
            <w:pPr>
              <w:spacing w:line="500" w:lineRule="exact"/>
              <w:jc w:val="center"/>
              <w:textAlignment w:val="baseline"/>
              <w:rPr>
                <w:rFonts w:hint="eastAsia" w:ascii="宋体" w:hAnsi="宋体" w:eastAsia="宋体" w:cs="宋体"/>
                <w:color w:val="auto"/>
                <w:sz w:val="24"/>
                <w:szCs w:val="24"/>
                <w:highlight w:val="none"/>
              </w:rPr>
            </w:pPr>
          </w:p>
        </w:tc>
        <w:tc>
          <w:tcPr>
            <w:tcW w:w="1541" w:type="dxa"/>
            <w:tcBorders>
              <w:top w:val="single" w:color="auto" w:sz="4" w:space="0"/>
              <w:left w:val="nil"/>
              <w:bottom w:val="single" w:color="auto" w:sz="4" w:space="0"/>
              <w:right w:val="single" w:color="auto" w:sz="4" w:space="0"/>
            </w:tcBorders>
            <w:noWrap w:val="0"/>
            <w:vAlign w:val="center"/>
          </w:tcPr>
          <w:p w14:paraId="7F34C9D4">
            <w:pPr>
              <w:spacing w:line="500" w:lineRule="exact"/>
              <w:jc w:val="center"/>
              <w:textAlignment w:val="baseline"/>
              <w:rPr>
                <w:rFonts w:hint="eastAsia" w:ascii="宋体" w:hAnsi="宋体" w:eastAsia="宋体" w:cs="宋体"/>
                <w:color w:val="auto"/>
                <w:sz w:val="24"/>
                <w:szCs w:val="24"/>
                <w:highlight w:val="none"/>
              </w:rPr>
            </w:pPr>
          </w:p>
        </w:tc>
        <w:tc>
          <w:tcPr>
            <w:tcW w:w="1499" w:type="dxa"/>
            <w:tcBorders>
              <w:top w:val="single" w:color="auto" w:sz="4" w:space="0"/>
              <w:left w:val="nil"/>
              <w:bottom w:val="single" w:color="auto" w:sz="4" w:space="0"/>
              <w:right w:val="single" w:color="auto" w:sz="4" w:space="0"/>
            </w:tcBorders>
            <w:noWrap w:val="0"/>
            <w:vAlign w:val="center"/>
          </w:tcPr>
          <w:p w14:paraId="08C1E0C3">
            <w:pPr>
              <w:spacing w:line="500" w:lineRule="exact"/>
              <w:jc w:val="center"/>
              <w:textAlignment w:val="baseline"/>
              <w:rPr>
                <w:rFonts w:hint="eastAsia" w:ascii="宋体" w:hAnsi="宋体" w:eastAsia="宋体" w:cs="宋体"/>
                <w:color w:val="auto"/>
                <w:sz w:val="24"/>
                <w:szCs w:val="24"/>
                <w:highlight w:val="none"/>
              </w:rPr>
            </w:pPr>
          </w:p>
        </w:tc>
        <w:tc>
          <w:tcPr>
            <w:tcW w:w="1833" w:type="dxa"/>
            <w:tcBorders>
              <w:top w:val="single" w:color="auto" w:sz="4" w:space="0"/>
              <w:left w:val="nil"/>
              <w:bottom w:val="single" w:color="auto" w:sz="4" w:space="0"/>
              <w:right w:val="single" w:color="auto" w:sz="4" w:space="0"/>
            </w:tcBorders>
            <w:noWrap w:val="0"/>
            <w:vAlign w:val="center"/>
          </w:tcPr>
          <w:p w14:paraId="61776B14">
            <w:pPr>
              <w:spacing w:line="500" w:lineRule="exact"/>
              <w:jc w:val="center"/>
              <w:textAlignment w:val="baseline"/>
              <w:rPr>
                <w:rFonts w:hint="eastAsia" w:ascii="宋体" w:hAnsi="宋体" w:eastAsia="宋体" w:cs="宋体"/>
                <w:color w:val="auto"/>
                <w:sz w:val="24"/>
                <w:szCs w:val="24"/>
                <w:highlight w:val="none"/>
              </w:rPr>
            </w:pPr>
          </w:p>
        </w:tc>
        <w:tc>
          <w:tcPr>
            <w:tcW w:w="1189" w:type="dxa"/>
            <w:tcBorders>
              <w:top w:val="single" w:color="auto" w:sz="4" w:space="0"/>
              <w:left w:val="nil"/>
              <w:bottom w:val="single" w:color="auto" w:sz="4" w:space="0"/>
              <w:right w:val="single" w:color="auto" w:sz="4" w:space="0"/>
            </w:tcBorders>
            <w:noWrap w:val="0"/>
            <w:vAlign w:val="center"/>
          </w:tcPr>
          <w:p w14:paraId="4DD2625C">
            <w:pPr>
              <w:spacing w:line="500" w:lineRule="exact"/>
              <w:jc w:val="center"/>
              <w:textAlignment w:val="baseline"/>
              <w:rPr>
                <w:rFonts w:hint="eastAsia" w:ascii="宋体" w:hAnsi="宋体" w:eastAsia="宋体" w:cs="宋体"/>
                <w:color w:val="auto"/>
                <w:sz w:val="24"/>
                <w:szCs w:val="24"/>
                <w:highlight w:val="none"/>
              </w:rPr>
            </w:pPr>
          </w:p>
        </w:tc>
      </w:tr>
    </w:tbl>
    <w:p w14:paraId="3D0F4DC8">
      <w:pPr>
        <w:pageBreakBefore w:val="0"/>
        <w:kinsoku/>
        <w:overflowPunct/>
        <w:topLinePunct w:val="0"/>
        <w:bidi w:val="0"/>
        <w:spacing w:line="360" w:lineRule="auto"/>
        <w:rPr>
          <w:rFonts w:hint="eastAsia" w:ascii="宋体" w:hAnsi="宋体" w:eastAsia="宋体" w:cs="宋体"/>
          <w:b/>
          <w:color w:val="auto"/>
          <w:sz w:val="22"/>
          <w:szCs w:val="22"/>
          <w:highlight w:val="none"/>
        </w:rPr>
      </w:pPr>
    </w:p>
    <w:p w14:paraId="35C46228">
      <w:pPr>
        <w:pageBreakBefore w:val="0"/>
        <w:kinsoku/>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附</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相关人员证明材料</w:t>
      </w:r>
      <w:r>
        <w:rPr>
          <w:rFonts w:hint="eastAsia" w:ascii="宋体" w:hAnsi="宋体" w:eastAsia="宋体" w:cs="宋体"/>
          <w:b/>
          <w:color w:val="auto"/>
          <w:sz w:val="22"/>
          <w:szCs w:val="22"/>
          <w:highlight w:val="none"/>
        </w:rPr>
        <w:t>。</w:t>
      </w:r>
    </w:p>
    <w:p w14:paraId="1A59F6F7">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szCs w:val="24"/>
          <w:highlight w:val="none"/>
        </w:rPr>
      </w:pPr>
    </w:p>
    <w:p w14:paraId="6BCD157B">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475FE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198D75B3">
      <w:pPr>
        <w:bidi w:val="0"/>
        <w:ind w:firstLine="2100" w:firstLineChars="1000"/>
        <w:rPr>
          <w:rFonts w:hint="eastAsia"/>
          <w:color w:val="auto"/>
          <w:highlight w:val="none"/>
        </w:rPr>
      </w:pPr>
      <w:r>
        <w:rPr>
          <w:rFonts w:hint="eastAsia"/>
          <w:color w:val="auto"/>
          <w:highlight w:val="none"/>
          <w:lang w:val="en-US" w:eastAsia="zh-CN"/>
        </w:rPr>
        <w:t xml:space="preserve">                      </w:t>
      </w:r>
      <w:r>
        <w:rPr>
          <w:rFonts w:hint="eastAsia"/>
          <w:color w:val="auto"/>
          <w:highlight w:val="none"/>
        </w:rPr>
        <w:t>日     期：     年   月   日</w:t>
      </w:r>
    </w:p>
    <w:p w14:paraId="5590E391">
      <w:pPr>
        <w:pStyle w:val="5"/>
        <w:bidi w:val="0"/>
        <w:jc w:val="center"/>
        <w:rPr>
          <w:rFonts w:hint="eastAsia" w:ascii="Arial" w:hAnsi="Arial" w:cs="Times New Roman"/>
          <w:b/>
          <w:bCs/>
          <w:color w:val="auto"/>
          <w:highlight w:val="none"/>
          <w:lang w:val="en-US" w:eastAsia="zh-CN"/>
        </w:rPr>
      </w:pPr>
      <w:r>
        <w:rPr>
          <w:rFonts w:hint="eastAsia" w:ascii="Arial" w:hAnsi="Arial" w:cs="Times New Roman"/>
          <w:b/>
          <w:bCs/>
          <w:color w:val="auto"/>
          <w:highlight w:val="none"/>
          <w:lang w:val="en-US" w:eastAsia="zh-CN"/>
        </w:rPr>
        <w:br w:type="page"/>
      </w:r>
      <w:r>
        <w:rPr>
          <w:rFonts w:hint="eastAsia" w:ascii="Arial" w:hAnsi="Arial" w:cs="Times New Roman"/>
          <w:b/>
          <w:bCs/>
          <w:color w:val="auto"/>
          <w:highlight w:val="none"/>
          <w:lang w:val="en-US" w:eastAsia="zh-CN"/>
        </w:rPr>
        <w:t>七、投标人基本情况表</w:t>
      </w:r>
    </w:p>
    <w:p w14:paraId="37DB7940">
      <w:pPr>
        <w:pStyle w:val="12"/>
        <w:widowControl/>
        <w:spacing w:line="360" w:lineRule="auto"/>
        <w:jc w:val="center"/>
        <w:textAlignment w:val="baseline"/>
        <w:rPr>
          <w:rFonts w:hint="eastAsia" w:ascii="宋体" w:hAnsi="宋体" w:eastAsia="宋体" w:cs="宋体"/>
          <w:b/>
          <w:bCs/>
          <w:color w:val="auto"/>
          <w:sz w:val="32"/>
          <w:szCs w:val="32"/>
          <w:highlight w:val="none"/>
          <w:shd w:val="clear" w:color="auto" w:fill="FFFFFF"/>
        </w:rPr>
      </w:pPr>
      <w:r>
        <w:rPr>
          <w:rFonts w:hint="eastAsia" w:ascii="宋体" w:hAnsi="宋体" w:eastAsia="宋体" w:cs="宋体"/>
          <w:b/>
          <w:bCs/>
          <w:color w:val="auto"/>
          <w:sz w:val="32"/>
          <w:szCs w:val="32"/>
          <w:highlight w:val="none"/>
          <w:shd w:val="clear" w:color="auto" w:fill="FFFFFF"/>
        </w:rPr>
        <w:t>（格式自拟）</w:t>
      </w:r>
    </w:p>
    <w:p w14:paraId="2C7B895F">
      <w:pPr>
        <w:pStyle w:val="12"/>
        <w:widowControl/>
        <w:spacing w:line="360" w:lineRule="auto"/>
        <w:jc w:val="center"/>
        <w:textAlignment w:val="baseline"/>
        <w:rPr>
          <w:rFonts w:hint="eastAsia" w:ascii="宋体" w:hAnsi="宋体" w:eastAsia="宋体" w:cs="宋体"/>
          <w:b/>
          <w:bCs/>
          <w:color w:val="auto"/>
          <w:sz w:val="32"/>
          <w:szCs w:val="32"/>
          <w:highlight w:val="none"/>
          <w:shd w:val="clear" w:color="auto" w:fill="FFFFFF"/>
        </w:rPr>
      </w:pPr>
      <w:r>
        <w:rPr>
          <w:rFonts w:hint="eastAsia" w:ascii="宋体" w:hAnsi="宋体" w:eastAsia="宋体" w:cs="宋体"/>
          <w:b/>
          <w:bCs/>
          <w:color w:val="auto"/>
          <w:sz w:val="32"/>
          <w:szCs w:val="32"/>
          <w:highlight w:val="none"/>
          <w:shd w:val="clear" w:color="auto" w:fill="FFFFFF"/>
        </w:rPr>
        <w:t xml:space="preserve"> </w:t>
      </w:r>
    </w:p>
    <w:p w14:paraId="28F5BF41">
      <w:pPr>
        <w:pStyle w:val="12"/>
        <w:widowControl/>
        <w:spacing w:line="360" w:lineRule="auto"/>
        <w:ind w:left="406"/>
        <w:jc w:val="both"/>
        <w:textAlignment w:val="baseline"/>
        <w:rPr>
          <w:rFonts w:hint="eastAsia" w:ascii="宋体" w:hAnsi="宋体" w:eastAsia="宋体" w:cs="宋体"/>
          <w:color w:val="auto"/>
          <w:highlight w:val="none"/>
          <w:shd w:val="clear" w:color="auto" w:fill="FFFFFF"/>
        </w:rPr>
      </w:pPr>
    </w:p>
    <w:p w14:paraId="284DEB3F">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szCs w:val="24"/>
          <w:highlight w:val="none"/>
        </w:rPr>
      </w:pPr>
    </w:p>
    <w:p w14:paraId="44FDEDFC">
      <w:pPr>
        <w:pStyle w:val="5"/>
        <w:bidi w:val="0"/>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br w:type="page"/>
      </w:r>
      <w:bookmarkEnd w:id="187"/>
      <w:bookmarkEnd w:id="188"/>
      <w:bookmarkEnd w:id="189"/>
      <w:bookmarkEnd w:id="190"/>
      <w:r>
        <w:rPr>
          <w:rFonts w:hint="eastAsia" w:ascii="Arial" w:hAnsi="Arial" w:cs="Times New Roman"/>
          <w:b/>
          <w:bCs/>
          <w:color w:val="auto"/>
          <w:highlight w:val="none"/>
          <w:lang w:val="en-US" w:eastAsia="zh-CN"/>
        </w:rPr>
        <w:t>八、项目服务技术方案</w:t>
      </w:r>
    </w:p>
    <w:p w14:paraId="28B12D53">
      <w:pPr>
        <w:bidi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（格式自拟）</w:t>
      </w:r>
    </w:p>
    <w:p w14:paraId="35B0BCB2">
      <w:pPr>
        <w:pStyle w:val="5"/>
        <w:bidi w:val="0"/>
        <w:jc w:val="center"/>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40"/>
          <w:highlight w:val="none"/>
          <w:lang w:val="en-US" w:eastAsia="zh-CN" w:bidi="ar-SA"/>
        </w:rPr>
        <w:br w:type="page"/>
      </w:r>
      <w:r>
        <w:rPr>
          <w:rFonts w:hint="eastAsia"/>
          <w:color w:val="auto"/>
          <w:highlight w:val="none"/>
          <w:lang w:val="en-US" w:eastAsia="zh-CN"/>
        </w:rPr>
        <w:t>九、投标单位认为应该提供的其他材料</w:t>
      </w:r>
    </w:p>
    <w:p w14:paraId="594FD8B3">
      <w:pPr>
        <w:pStyle w:val="19"/>
        <w:pageBreakBefore w:val="0"/>
        <w:numPr>
          <w:ilvl w:val="0"/>
          <w:numId w:val="0"/>
        </w:numPr>
        <w:kinsoku/>
        <w:overflowPunct/>
        <w:topLinePunct w:val="0"/>
        <w:bidi w:val="0"/>
        <w:spacing w:line="360" w:lineRule="auto"/>
        <w:ind w:leftChars="0"/>
        <w:jc w:val="left"/>
        <w:rPr>
          <w:rFonts w:hint="eastAsia" w:ascii="宋体" w:hAnsi="宋体" w:eastAsia="宋体" w:cs="宋体"/>
          <w:color w:val="auto"/>
          <w:highlight w:val="none"/>
          <w:lang w:eastAsia="zh-CN"/>
        </w:rPr>
      </w:pPr>
    </w:p>
    <w:p w14:paraId="0EBBBC97">
      <w:pPr>
        <w:pStyle w:val="5"/>
        <w:bidi w:val="0"/>
        <w:jc w:val="center"/>
        <w:rPr>
          <w:rFonts w:hint="eastAsia"/>
          <w:color w:val="auto"/>
          <w:highlight w:val="none"/>
        </w:rPr>
      </w:pPr>
      <w:r>
        <w:rPr>
          <w:rFonts w:hint="eastAsia" w:ascii="宋体" w:hAnsi="宋体" w:eastAsia="宋体" w:cs="宋体"/>
          <w:color w:val="auto"/>
          <w:highlight w:val="none"/>
        </w:rPr>
        <w:br w:type="page"/>
      </w:r>
      <w:r>
        <w:rPr>
          <w:rFonts w:hint="eastAsia"/>
          <w:color w:val="auto"/>
          <w:highlight w:val="none"/>
          <w:lang w:eastAsia="zh-CN"/>
        </w:rPr>
        <w:t>十、</w:t>
      </w:r>
      <w:r>
        <w:rPr>
          <w:rFonts w:hint="eastAsia"/>
          <w:color w:val="auto"/>
          <w:highlight w:val="none"/>
        </w:rPr>
        <w:t>反商业贿赂承诺书</w:t>
      </w:r>
    </w:p>
    <w:p w14:paraId="4FDEB8F6">
      <w:pPr>
        <w:spacing w:line="480" w:lineRule="auto"/>
        <w:rPr>
          <w:rFonts w:hint="eastAsia" w:ascii="宋体" w:hAnsi="宋体" w:eastAsia="宋体" w:cs="宋体"/>
          <w:color w:val="auto"/>
          <w:sz w:val="24"/>
          <w:szCs w:val="24"/>
          <w:highlight w:val="none"/>
        </w:rPr>
      </w:pPr>
    </w:p>
    <w:p w14:paraId="21BB7BB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6302366D">
      <w:pPr>
        <w:widowControl/>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招标投标活动中，我公司保证做到：</w:t>
      </w:r>
    </w:p>
    <w:p w14:paraId="0CE4759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一、公平竞争参加本次活动。</w:t>
      </w:r>
    </w:p>
    <w:p w14:paraId="16E4201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杜绝任何形式的商业贿赂行为。不向国家工作人员、采购代理机构工作人员、评审专家及其亲属提供礼品礼金、有价证券、购物券、回扣、佣金、咨询费、劳务费、赞助费、宣传费、宴请；不为其报销各种报销凭证，不支付其旅游、娱乐等费用。</w:t>
      </w:r>
    </w:p>
    <w:p w14:paraId="46240D4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三、若出现上述行为，我单位及参与投标的工作人员愿意接受按照国家法律法规等有关规定给予的处罚。</w:t>
      </w:r>
    </w:p>
    <w:p w14:paraId="7841F50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E06987">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3225A9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盖章）</w:t>
      </w:r>
    </w:p>
    <w:p w14:paraId="12EB51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29E82F83">
      <w:pPr>
        <w:jc w:val="center"/>
        <w:rPr>
          <w:rFonts w:hint="eastAsia" w:ascii="宋体" w:hAnsi="宋体" w:eastAsia="宋体" w:cs="宋体"/>
          <w:b/>
          <w:color w:val="auto"/>
          <w:sz w:val="28"/>
          <w:szCs w:val="28"/>
          <w:highlight w:val="none"/>
        </w:rPr>
      </w:pPr>
    </w:p>
    <w:p w14:paraId="1E42BA84">
      <w:pPr>
        <w:jc w:val="center"/>
        <w:rPr>
          <w:rFonts w:hint="eastAsia" w:ascii="宋体" w:hAnsi="宋体" w:eastAsia="宋体" w:cs="宋体"/>
          <w:b/>
          <w:bCs/>
          <w:color w:val="auto"/>
          <w:sz w:val="32"/>
          <w:szCs w:val="32"/>
          <w:highlight w:val="none"/>
        </w:rPr>
      </w:pPr>
    </w:p>
    <w:p w14:paraId="46F9FAC9">
      <w:pPr>
        <w:pStyle w:val="2"/>
        <w:rPr>
          <w:rFonts w:hint="eastAsia" w:ascii="宋体" w:hAnsi="宋体" w:eastAsia="宋体" w:cs="宋体"/>
          <w:color w:val="auto"/>
          <w:highlight w:val="none"/>
        </w:rPr>
      </w:pPr>
    </w:p>
    <w:p w14:paraId="33CD89A1">
      <w:pPr>
        <w:pStyle w:val="2"/>
        <w:rPr>
          <w:rFonts w:hint="eastAsia" w:ascii="宋体" w:hAnsi="宋体" w:eastAsia="宋体" w:cs="宋体"/>
          <w:color w:val="auto"/>
          <w:highlight w:val="none"/>
        </w:rPr>
      </w:pPr>
    </w:p>
    <w:p w14:paraId="57B90CA5">
      <w:pPr>
        <w:pStyle w:val="2"/>
        <w:rPr>
          <w:rFonts w:hint="eastAsia" w:ascii="宋体" w:hAnsi="宋体" w:eastAsia="宋体" w:cs="宋体"/>
          <w:color w:val="auto"/>
          <w:highlight w:val="none"/>
        </w:rPr>
      </w:pPr>
    </w:p>
    <w:p w14:paraId="573AE920">
      <w:pPr>
        <w:pStyle w:val="2"/>
        <w:rPr>
          <w:rFonts w:hint="eastAsia" w:ascii="宋体" w:hAnsi="宋体" w:eastAsia="宋体" w:cs="宋体"/>
          <w:color w:val="auto"/>
          <w:highlight w:val="none"/>
        </w:rPr>
      </w:pPr>
    </w:p>
    <w:p w14:paraId="44668104">
      <w:pPr>
        <w:pStyle w:val="2"/>
        <w:rPr>
          <w:rFonts w:hint="eastAsia" w:ascii="宋体" w:hAnsi="宋体" w:eastAsia="宋体" w:cs="宋体"/>
          <w:color w:val="auto"/>
          <w:highlight w:val="none"/>
        </w:rPr>
      </w:pPr>
    </w:p>
    <w:p w14:paraId="530EB7C9">
      <w:pPr>
        <w:pStyle w:val="2"/>
        <w:rPr>
          <w:rFonts w:hint="eastAsia" w:ascii="宋体" w:hAnsi="宋体" w:eastAsia="宋体" w:cs="宋体"/>
          <w:color w:val="auto"/>
          <w:highlight w:val="none"/>
        </w:rPr>
      </w:pPr>
    </w:p>
    <w:p w14:paraId="074729D1">
      <w:pPr>
        <w:pStyle w:val="2"/>
        <w:rPr>
          <w:rFonts w:hint="eastAsia" w:ascii="宋体" w:hAnsi="宋体" w:eastAsia="宋体" w:cs="宋体"/>
          <w:color w:val="auto"/>
          <w:highlight w:val="none"/>
        </w:rPr>
      </w:pPr>
    </w:p>
    <w:p w14:paraId="2E2291AE">
      <w:pPr>
        <w:pStyle w:val="5"/>
        <w:bidi w:val="0"/>
        <w:jc w:val="center"/>
        <w:rPr>
          <w:rFonts w:hint="eastAsia" w:ascii="宋体" w:hAnsi="宋体" w:eastAsia="宋体" w:cs="宋体"/>
          <w:b/>
          <w:bCs/>
          <w:color w:val="auto"/>
          <w:szCs w:val="40"/>
          <w:highlight w:val="none"/>
        </w:rPr>
      </w:pPr>
      <w:r>
        <w:rPr>
          <w:rFonts w:hint="eastAsia"/>
          <w:color w:val="auto"/>
          <w:highlight w:val="none"/>
          <w:lang w:eastAsia="zh-CN"/>
        </w:rPr>
        <w:t>十</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享受政府采购政策扶持的证明材料</w:t>
      </w:r>
    </w:p>
    <w:p w14:paraId="6596AC63">
      <w:pPr>
        <w:pStyle w:val="19"/>
        <w:pageBreakBefore w:val="0"/>
        <w:tabs>
          <w:tab w:val="left" w:pos="2610"/>
          <w:tab w:val="center" w:pos="4621"/>
        </w:tabs>
        <w:kinsoku/>
        <w:overflowPunct/>
        <w:topLinePunct w:val="0"/>
        <w:bidi w:val="0"/>
        <w:spacing w:line="360" w:lineRule="auto"/>
        <w:ind w:firstLine="0"/>
        <w:jc w:val="center"/>
        <w:rPr>
          <w:rFonts w:hint="eastAsia" w:ascii="宋体" w:hAnsi="宋体" w:eastAsia="宋体" w:cs="宋体"/>
          <w:b/>
          <w:bCs/>
          <w:color w:val="auto"/>
          <w:sz w:val="24"/>
          <w:szCs w:val="24"/>
          <w:highlight w:val="none"/>
        </w:rPr>
      </w:pPr>
    </w:p>
    <w:p w14:paraId="74110780">
      <w:pPr>
        <w:pageBreakBefore w:val="0"/>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1、中小企业声明函</w:t>
      </w:r>
    </w:p>
    <w:p w14:paraId="2BC8CF15">
      <w:pPr>
        <w:pageBreakBefore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 xml:space="preserve">   （单位名称）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（项目名称）        </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925E17E">
      <w:pPr>
        <w:pageBreakBefore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 xml:space="preserve">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（采购文件中明确的所属行业）   </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 w:val="24"/>
          <w:szCs w:val="24"/>
          <w:highlight w:val="none"/>
          <w:u w:val="single"/>
        </w:rPr>
        <w:t xml:space="preserve">   （企业名称）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万元¹，属于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（中型企业、小型企业、微型企业）    </w:t>
      </w:r>
      <w:r>
        <w:rPr>
          <w:rFonts w:hint="eastAsia" w:ascii="宋体" w:hAnsi="宋体" w:eastAsia="宋体" w:cs="宋体"/>
          <w:color w:val="auto"/>
          <w:kern w:val="0"/>
          <w:sz w:val="24"/>
          <w:szCs w:val="24"/>
          <w:highlight w:val="none"/>
        </w:rPr>
        <w:t>；</w:t>
      </w:r>
    </w:p>
    <w:p w14:paraId="22F13F3C">
      <w:pPr>
        <w:pageBreakBefore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u w:val="single"/>
        </w:rPr>
        <w:t xml:space="preserve">（标的名称）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（采购文件中明确的所属行业）   </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 w:val="24"/>
          <w:szCs w:val="24"/>
          <w:highlight w:val="none"/>
          <w:u w:val="single"/>
        </w:rPr>
        <w:t xml:space="preserve">   （企业名称）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（中型企业、小型企业、微型企业）    </w:t>
      </w:r>
      <w:r>
        <w:rPr>
          <w:rFonts w:hint="eastAsia" w:ascii="宋体" w:hAnsi="宋体" w:eastAsia="宋体" w:cs="宋体"/>
          <w:color w:val="auto"/>
          <w:kern w:val="0"/>
          <w:sz w:val="24"/>
          <w:szCs w:val="24"/>
          <w:highlight w:val="none"/>
        </w:rPr>
        <w:t>；</w:t>
      </w:r>
    </w:p>
    <w:p w14:paraId="7FA4F276">
      <w:pPr>
        <w:pageBreakBefore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A11A5CE">
      <w:pPr>
        <w:pageBreakBefore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273B31A7">
      <w:pPr>
        <w:pageBreakBefore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本企业对上述声明内容的真实性负责。如有虚报，将依法承担相应责任。</w:t>
      </w:r>
    </w:p>
    <w:p w14:paraId="5849EB30">
      <w:pPr>
        <w:pageBreakBefore w:val="0"/>
        <w:kinsoku/>
        <w:overflowPunct/>
        <w:topLinePunct w:val="0"/>
        <w:bidi w:val="0"/>
        <w:spacing w:line="360" w:lineRule="auto"/>
        <w:jc w:val="left"/>
        <w:rPr>
          <w:rFonts w:hint="eastAsia" w:ascii="宋体" w:hAnsi="宋体" w:eastAsia="宋体" w:cs="宋体"/>
          <w:color w:val="auto"/>
          <w:kern w:val="0"/>
          <w:sz w:val="24"/>
          <w:szCs w:val="24"/>
          <w:highlight w:val="none"/>
        </w:rPr>
      </w:pPr>
    </w:p>
    <w:p w14:paraId="730E102C">
      <w:pPr>
        <w:pageBreakBefore w:val="0"/>
        <w:kinsoku/>
        <w:overflowPunct/>
        <w:topLinePunct w:val="0"/>
        <w:bidi w:val="0"/>
        <w:spacing w:line="360" w:lineRule="auto"/>
        <w:ind w:firstLine="3840" w:firstLineChars="1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单位名称（盖单位章）：</w:t>
      </w:r>
    </w:p>
    <w:p w14:paraId="52A3D723">
      <w:pPr>
        <w:pageBreakBefore w:val="0"/>
        <w:kinsoku/>
        <w:overflowPunct/>
        <w:topLinePunct w:val="0"/>
        <w:bidi w:val="0"/>
        <w:spacing w:line="360" w:lineRule="auto"/>
        <w:ind w:firstLine="3840" w:firstLineChars="1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47D5F821">
      <w:pPr>
        <w:pageBreakBefore w:val="0"/>
        <w:kinsoku/>
        <w:overflowPunct/>
        <w:topLinePunct w:val="0"/>
        <w:bidi w:val="0"/>
        <w:spacing w:line="360" w:lineRule="auto"/>
        <w:jc w:val="left"/>
        <w:rPr>
          <w:rFonts w:hint="eastAsia" w:ascii="宋体" w:hAnsi="宋体" w:eastAsia="宋体" w:cs="宋体"/>
          <w:color w:val="auto"/>
          <w:kern w:val="0"/>
          <w:sz w:val="24"/>
          <w:szCs w:val="24"/>
          <w:highlight w:val="none"/>
        </w:rPr>
      </w:pPr>
    </w:p>
    <w:p w14:paraId="642E8304">
      <w:pPr>
        <w:pageBreakBefore w:val="0"/>
        <w:kinsoku/>
        <w:overflowPunct/>
        <w:topLinePunct w:val="0"/>
        <w:bidi w:val="0"/>
        <w:spacing w:line="360" w:lineRule="auto"/>
        <w:jc w:val="left"/>
        <w:rPr>
          <w:rFonts w:hint="eastAsia" w:ascii="宋体" w:hAnsi="宋体" w:eastAsia="宋体" w:cs="宋体"/>
          <w:color w:val="auto"/>
          <w:kern w:val="0"/>
          <w:sz w:val="24"/>
          <w:szCs w:val="24"/>
          <w:highlight w:val="none"/>
        </w:rPr>
      </w:pPr>
    </w:p>
    <w:p w14:paraId="6937EABB">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14:paraId="73223D21">
      <w:pPr>
        <w:bidi w:val="0"/>
        <w:rPr>
          <w:rFonts w:hint="eastAsia"/>
          <w:color w:val="auto"/>
          <w:highlight w:val="none"/>
        </w:rPr>
      </w:pPr>
    </w:p>
    <w:p w14:paraId="4D915092">
      <w:pPr>
        <w:pageBreakBefore w:val="0"/>
        <w:widowControl/>
        <w:kinsoku/>
        <w:overflowPunct/>
        <w:topLinePunct w:val="0"/>
        <w:bidi w:val="0"/>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spacing w:val="10"/>
          <w:kern w:val="0"/>
          <w:sz w:val="24"/>
          <w:szCs w:val="24"/>
          <w:highlight w:val="none"/>
        </w:rPr>
        <w:t>（注：如果投标单位不是中小型及微型企业，本声明函可删除）</w:t>
      </w:r>
      <w:bookmarkStart w:id="191" w:name="_Toc5505"/>
      <w:bookmarkEnd w:id="191"/>
      <w:bookmarkStart w:id="192" w:name="_Toc18136"/>
      <w:bookmarkEnd w:id="192"/>
      <w:bookmarkStart w:id="193" w:name="_Toc3097"/>
      <w:bookmarkEnd w:id="193"/>
      <w:bookmarkStart w:id="194" w:name="_Toc335987416"/>
      <w:bookmarkEnd w:id="194"/>
    </w:p>
    <w:p w14:paraId="388F8DD5">
      <w:pPr>
        <w:pageBreakBefore w:val="0"/>
        <w:kinsoku/>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2、残疾人福利性单位声明函</w:t>
      </w:r>
    </w:p>
    <w:p w14:paraId="494B4130">
      <w:pPr>
        <w:pageBreakBefore w:val="0"/>
        <w:kinsoku/>
        <w:overflowPunct/>
        <w:topLinePunct w:val="0"/>
        <w:bidi w:val="0"/>
        <w:spacing w:line="360" w:lineRule="auto"/>
        <w:rPr>
          <w:rFonts w:hint="eastAsia" w:ascii="宋体" w:hAnsi="宋体" w:eastAsia="宋体" w:cs="宋体"/>
          <w:color w:val="auto"/>
          <w:sz w:val="24"/>
          <w:szCs w:val="24"/>
          <w:highlight w:val="none"/>
        </w:rPr>
      </w:pPr>
    </w:p>
    <w:p w14:paraId="66EB0814">
      <w:pPr>
        <w:pStyle w:val="2"/>
        <w:pageBreakBefore w:val="0"/>
        <w:kinsoku/>
        <w:overflowPunct/>
        <w:topLinePunct w:val="0"/>
        <w:bidi w:val="0"/>
        <w:spacing w:line="360" w:lineRule="auto"/>
        <w:rPr>
          <w:rFonts w:hint="eastAsia" w:ascii="宋体" w:hAnsi="宋体" w:eastAsia="宋体" w:cs="宋体"/>
          <w:color w:val="auto"/>
          <w:sz w:val="24"/>
          <w:szCs w:val="24"/>
          <w:highlight w:val="none"/>
        </w:rPr>
      </w:pPr>
    </w:p>
    <w:p w14:paraId="7EA7FD5C">
      <w:pPr>
        <w:pageBreakBefore w:val="0"/>
        <w:kinsoku/>
        <w:overflowPunct/>
        <w:topLinePunct w:val="0"/>
        <w:bidi w:val="0"/>
        <w:spacing w:before="100" w:beforeAutospacing="1" w:after="100" w:afterAutospacing="1" w:line="360" w:lineRule="auto"/>
        <w:ind w:left="120" w:right="99" w:firstLine="468"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3"/>
          <w:kern w:val="0"/>
          <w:sz w:val="24"/>
          <w:szCs w:val="24"/>
          <w:highlight w:val="none"/>
        </w:rPr>
        <w:t xml:space="preserve">本单位郑重声明，根据《财政部 </w:t>
      </w:r>
      <w:r>
        <w:rPr>
          <w:rFonts w:hint="eastAsia" w:ascii="宋体" w:hAnsi="宋体" w:eastAsia="宋体" w:cs="宋体"/>
          <w:color w:val="auto"/>
          <w:kern w:val="0"/>
          <w:sz w:val="24"/>
          <w:szCs w:val="24"/>
          <w:highlight w:val="none"/>
        </w:rPr>
        <w:t>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24"/>
          <w:highlight w:val="none"/>
          <w:u w:val="single" w:color="000000"/>
        </w:rPr>
        <w:tab/>
      </w:r>
      <w:r>
        <w:rPr>
          <w:rFonts w:hint="eastAsia" w:ascii="宋体" w:hAnsi="宋体" w:eastAsia="宋体" w:cs="宋体"/>
          <w:color w:val="auto"/>
          <w:kern w:val="0"/>
          <w:sz w:val="24"/>
          <w:szCs w:val="24"/>
          <w:highlight w:val="none"/>
        </w:rPr>
        <w:t>单位的</w:t>
      </w:r>
      <w:r>
        <w:rPr>
          <w:rFonts w:hint="eastAsia" w:ascii="宋体" w:hAnsi="宋体" w:eastAsia="宋体" w:cs="宋体"/>
          <w:color w:val="auto"/>
          <w:spacing w:val="4"/>
          <w:w w:val="95"/>
          <w:kern w:val="0"/>
          <w:sz w:val="24"/>
          <w:szCs w:val="24"/>
          <w:highlight w:val="none"/>
          <w:u w:val="single" w:color="000000"/>
        </w:rPr>
        <w:tab/>
      </w:r>
      <w:r>
        <w:rPr>
          <w:rFonts w:hint="eastAsia" w:ascii="宋体" w:hAnsi="宋体" w:eastAsia="宋体" w:cs="宋体"/>
          <w:color w:val="auto"/>
          <w:kern w:val="0"/>
          <w:sz w:val="24"/>
          <w:szCs w:val="24"/>
          <w:highlight w:val="none"/>
        </w:rPr>
        <w:t>项目采购活动提供本单位制造的货物（由本单位承担工程/提供服务），或者提供其他残疾人福利性单位制造的货物（不包括使用非残疾人福利性单位 注册商标的货物）。</w:t>
      </w:r>
    </w:p>
    <w:p w14:paraId="0F18DDAC">
      <w:pPr>
        <w:pageBreakBefore w:val="0"/>
        <w:kinsoku/>
        <w:overflowPunct/>
        <w:topLinePunct w:val="0"/>
        <w:bidi w:val="0"/>
        <w:spacing w:beforeAutospacing="1" w:after="100" w:afterAutospacing="1" w:line="360" w:lineRule="auto"/>
        <w:ind w:left="120" w:right="119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14:paraId="261D4CC0">
      <w:pPr>
        <w:pageBreakBefore w:val="0"/>
        <w:kinsoku/>
        <w:overflowPunct/>
        <w:topLinePunct w:val="0"/>
        <w:bidi w:val="0"/>
        <w:spacing w:before="5" w:line="360" w:lineRule="auto"/>
        <w:jc w:val="left"/>
        <w:rPr>
          <w:rFonts w:hint="eastAsia" w:ascii="宋体" w:hAnsi="宋体" w:eastAsia="宋体" w:cs="宋体"/>
          <w:color w:val="auto"/>
          <w:kern w:val="0"/>
          <w:sz w:val="24"/>
          <w:szCs w:val="24"/>
          <w:highlight w:val="none"/>
        </w:rPr>
      </w:pPr>
    </w:p>
    <w:p w14:paraId="02BDCE96">
      <w:pPr>
        <w:pageBreakBefore w:val="0"/>
        <w:tabs>
          <w:tab w:val="left" w:pos="751"/>
          <w:tab w:val="left" w:pos="8360"/>
        </w:tabs>
        <w:kinsoku/>
        <w:overflowPunct/>
        <w:topLinePunct w:val="0"/>
        <w:bidi w:val="0"/>
        <w:spacing w:beforeAutospacing="1" w:after="100" w:afterAutospacing="1" w:line="360" w:lineRule="auto"/>
        <w:ind w:left="199" w:leftChars="95" w:right="50" w:firstLine="3960" w:firstLineChars="1650"/>
        <w:jc w:val="left"/>
        <w:rPr>
          <w:rFonts w:hint="eastAsia" w:ascii="宋体" w:hAnsi="宋体" w:eastAsia="宋体" w:cs="宋体"/>
          <w:color w:val="auto"/>
          <w:kern w:val="0"/>
          <w:sz w:val="24"/>
          <w:szCs w:val="24"/>
          <w:highlight w:val="none"/>
          <w:u w:val="single" w:color="000000"/>
        </w:rPr>
      </w:pPr>
      <w:r>
        <w:rPr>
          <w:rFonts w:hint="eastAsia" w:ascii="宋体" w:hAnsi="宋体" w:eastAsia="宋体" w:cs="宋体"/>
          <w:color w:val="auto"/>
          <w:kern w:val="0"/>
          <w:sz w:val="24"/>
          <w:szCs w:val="24"/>
          <w:highlight w:val="none"/>
        </w:rPr>
        <w:t>单位名称（盖单位章）：</w:t>
      </w:r>
    </w:p>
    <w:p w14:paraId="5702E7C1">
      <w:pPr>
        <w:pageBreakBefore w:val="0"/>
        <w:tabs>
          <w:tab w:val="left" w:pos="751"/>
          <w:tab w:val="left" w:pos="3103"/>
          <w:tab w:val="left" w:pos="4346"/>
        </w:tabs>
        <w:kinsoku/>
        <w:overflowPunct/>
        <w:topLinePunct w:val="0"/>
        <w:bidi w:val="0"/>
        <w:spacing w:beforeAutospacing="1" w:after="100" w:afterAutospacing="1" w:line="360" w:lineRule="auto"/>
        <w:ind w:left="100" w:right="50" w:firstLine="4560" w:firstLineChars="1900"/>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日 期</w:t>
      </w:r>
      <w:r>
        <w:rPr>
          <w:rFonts w:hint="eastAsia" w:ascii="宋体" w:hAnsi="宋体" w:eastAsia="宋体" w:cs="宋体"/>
          <w:color w:val="auto"/>
          <w:kern w:val="0"/>
          <w:sz w:val="24"/>
          <w:szCs w:val="24"/>
          <w:highlight w:val="none"/>
        </w:rPr>
        <w:t>：</w:t>
      </w:r>
    </w:p>
    <w:p w14:paraId="6121234F">
      <w:pPr>
        <w:pageBreakBefore w:val="0"/>
        <w:kinsoku/>
        <w:overflowPunct/>
        <w:topLinePunct w:val="0"/>
        <w:bidi w:val="0"/>
        <w:spacing w:beforeAutospacing="1" w:after="160" w:line="360" w:lineRule="auto"/>
        <w:jc w:val="center"/>
        <w:rPr>
          <w:rFonts w:hint="eastAsia" w:ascii="宋体" w:hAnsi="宋体" w:eastAsia="宋体" w:cs="宋体"/>
          <w:b/>
          <w:color w:val="auto"/>
          <w:kern w:val="0"/>
          <w:sz w:val="24"/>
          <w:szCs w:val="24"/>
          <w:highlight w:val="none"/>
        </w:rPr>
      </w:pPr>
    </w:p>
    <w:p w14:paraId="337E6C6A">
      <w:pPr>
        <w:pageBreakBefore w:val="0"/>
        <w:widowControl/>
        <w:kinsoku/>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spacing w:val="10"/>
          <w:kern w:val="0"/>
          <w:sz w:val="24"/>
          <w:szCs w:val="24"/>
          <w:highlight w:val="none"/>
        </w:rPr>
        <w:t>（注：</w:t>
      </w:r>
      <w:r>
        <w:rPr>
          <w:rFonts w:hint="eastAsia" w:ascii="宋体" w:hAnsi="宋体" w:eastAsia="宋体" w:cs="宋体"/>
          <w:b/>
          <w:color w:val="auto"/>
          <w:kern w:val="0"/>
          <w:sz w:val="24"/>
          <w:szCs w:val="24"/>
          <w:highlight w:val="none"/>
        </w:rPr>
        <w:t>如果</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不属于残疾人福利性企业，本</w:t>
      </w:r>
      <w:r>
        <w:rPr>
          <w:rFonts w:hint="eastAsia" w:ascii="宋体" w:hAnsi="宋体" w:eastAsia="宋体" w:cs="宋体"/>
          <w:b/>
          <w:color w:val="auto"/>
          <w:spacing w:val="10"/>
          <w:kern w:val="0"/>
          <w:sz w:val="24"/>
          <w:szCs w:val="24"/>
          <w:highlight w:val="none"/>
        </w:rPr>
        <w:t>声明函可删除</w:t>
      </w:r>
      <w:r>
        <w:rPr>
          <w:rFonts w:hint="eastAsia" w:ascii="宋体" w:hAnsi="宋体" w:eastAsia="宋体" w:cs="宋体"/>
          <w:b/>
          <w:color w:val="auto"/>
          <w:kern w:val="0"/>
          <w:sz w:val="24"/>
          <w:szCs w:val="24"/>
          <w:highlight w:val="none"/>
        </w:rPr>
        <w:t>。</w:t>
      </w:r>
      <w:r>
        <w:rPr>
          <w:rFonts w:hint="eastAsia" w:ascii="宋体" w:hAnsi="宋体" w:eastAsia="宋体" w:cs="宋体"/>
          <w:b/>
          <w:color w:val="auto"/>
          <w:spacing w:val="10"/>
          <w:kern w:val="0"/>
          <w:sz w:val="24"/>
          <w:szCs w:val="24"/>
          <w:highlight w:val="none"/>
        </w:rPr>
        <w:t>）</w:t>
      </w:r>
    </w:p>
    <w:p w14:paraId="6211C137">
      <w:pPr>
        <w:pStyle w:val="20"/>
        <w:pageBreakBefore w:val="0"/>
        <w:numPr>
          <w:ilvl w:val="0"/>
          <w:numId w:val="6"/>
        </w:numPr>
        <w:kinsoku/>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监狱企业证明文件</w:t>
      </w:r>
    </w:p>
    <w:p w14:paraId="2E2B7987">
      <w:pPr>
        <w:pStyle w:val="20"/>
        <w:pageBreakBefore w:val="0"/>
        <w:kinsoku/>
        <w:overflowPunct/>
        <w:topLinePunct w:val="0"/>
        <w:bidi w:val="0"/>
        <w:spacing w:line="360" w:lineRule="auto"/>
        <w:jc w:val="both"/>
        <w:rPr>
          <w:rFonts w:hint="eastAsia" w:ascii="宋体" w:hAnsi="宋体" w:eastAsia="宋体" w:cs="宋体"/>
          <w:color w:val="auto"/>
          <w:sz w:val="24"/>
          <w:szCs w:val="24"/>
          <w:highlight w:val="none"/>
        </w:rPr>
      </w:pPr>
    </w:p>
    <w:p w14:paraId="2DB8B2B0">
      <w:pPr>
        <w:pStyle w:val="20"/>
        <w:pageBreakBefore w:val="0"/>
        <w:kinsoku/>
        <w:overflowPunct/>
        <w:topLinePunct w:val="0"/>
        <w:bidi w:val="0"/>
        <w:spacing w:line="360" w:lineRule="auto"/>
        <w:jc w:val="both"/>
        <w:rPr>
          <w:rFonts w:hint="eastAsia" w:ascii="宋体" w:hAnsi="宋体" w:eastAsia="宋体" w:cs="宋体"/>
          <w:color w:val="auto"/>
          <w:sz w:val="24"/>
          <w:szCs w:val="24"/>
          <w:highlight w:val="none"/>
        </w:rPr>
      </w:pPr>
    </w:p>
    <w:p w14:paraId="0BAC58C1">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省级以上监狱管理局、戒毒管理局（含新疆生产建设兵团）出具的属于监狱企业的证明文件。</w:t>
      </w:r>
    </w:p>
    <w:p w14:paraId="3F377F3D">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6443C8EE">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60A2F089">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6B6F828E">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323BF524">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65C0856C">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789D2977">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4B791535">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140C4637">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0B63D99B">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79DAB691">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7CC741CE">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p>
    <w:p w14:paraId="54742256">
      <w:pPr>
        <w:pageBreakBefore w:val="0"/>
        <w:kinsoku/>
        <w:overflowPunct/>
        <w:topLinePunct w:val="0"/>
        <w:bidi w:val="0"/>
        <w:spacing w:before="30" w:line="360" w:lineRule="auto"/>
        <w:ind w:right="75"/>
        <w:jc w:val="center"/>
        <w:rPr>
          <w:rFonts w:hint="eastAsia" w:ascii="宋体" w:hAnsi="宋体" w:eastAsia="宋体" w:cs="宋体"/>
          <w:color w:val="auto"/>
          <w:kern w:val="0"/>
          <w:sz w:val="24"/>
          <w:szCs w:val="24"/>
          <w:highlight w:val="none"/>
        </w:rPr>
      </w:pPr>
      <w:r>
        <w:rPr>
          <w:rFonts w:hint="eastAsia" w:ascii="宋体" w:hAnsi="宋体" w:eastAsia="宋体" w:cs="宋体"/>
          <w:b/>
          <w:color w:val="auto"/>
          <w:spacing w:val="10"/>
          <w:kern w:val="0"/>
          <w:sz w:val="24"/>
          <w:szCs w:val="24"/>
          <w:highlight w:val="none"/>
        </w:rPr>
        <w:t>（注：</w:t>
      </w:r>
      <w:r>
        <w:rPr>
          <w:rFonts w:hint="eastAsia" w:ascii="宋体" w:hAnsi="宋体" w:eastAsia="宋体" w:cs="宋体"/>
          <w:b/>
          <w:color w:val="auto"/>
          <w:kern w:val="0"/>
          <w:sz w:val="24"/>
          <w:szCs w:val="24"/>
          <w:highlight w:val="none"/>
        </w:rPr>
        <w:t>如果</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不属于监狱企业，本</w:t>
      </w:r>
      <w:r>
        <w:rPr>
          <w:rFonts w:hint="eastAsia" w:ascii="宋体" w:hAnsi="宋体" w:eastAsia="宋体" w:cs="宋体"/>
          <w:b/>
          <w:color w:val="auto"/>
          <w:spacing w:val="10"/>
          <w:kern w:val="0"/>
          <w:sz w:val="24"/>
          <w:szCs w:val="24"/>
          <w:highlight w:val="none"/>
        </w:rPr>
        <w:t>页可删除）</w:t>
      </w:r>
    </w:p>
    <w:p w14:paraId="1A505BAF">
      <w:pPr>
        <w:pStyle w:val="4"/>
        <w:pageBreakBefore w:val="0"/>
        <w:numPr>
          <w:ilvl w:val="0"/>
          <w:numId w:val="0"/>
        </w:numPr>
        <w:kinsoku/>
        <w:overflowPunct/>
        <w:topLinePunct w:val="0"/>
        <w:bidi w:val="0"/>
        <w:spacing w:line="360" w:lineRule="auto"/>
        <w:ind w:leftChars="0"/>
        <w:jc w:val="center"/>
        <w:rPr>
          <w:rFonts w:hint="eastAsia" w:ascii="宋体" w:hAnsi="宋体" w:eastAsia="宋体" w:cs="宋体"/>
          <w:b/>
          <w:color w:val="auto"/>
          <w:spacing w:val="10"/>
          <w:kern w:val="0"/>
          <w:sz w:val="40"/>
          <w:szCs w:val="40"/>
          <w:highlight w:val="none"/>
        </w:rPr>
      </w:pPr>
      <w:r>
        <w:rPr>
          <w:rFonts w:hint="eastAsia" w:ascii="宋体" w:hAnsi="宋体" w:eastAsia="宋体" w:cs="宋体"/>
          <w:color w:val="auto"/>
          <w:sz w:val="24"/>
          <w:szCs w:val="24"/>
          <w:highlight w:val="none"/>
        </w:rPr>
        <w:br w:type="page"/>
      </w:r>
      <w:bookmarkStart w:id="195" w:name="_Toc23578"/>
      <w:bookmarkStart w:id="196" w:name="_Toc22717"/>
      <w:bookmarkStart w:id="197" w:name="_Toc1038"/>
      <w:bookmarkStart w:id="198" w:name="_Toc14619"/>
      <w:r>
        <w:rPr>
          <w:rFonts w:hint="eastAsia" w:ascii="宋体" w:hAnsi="宋体" w:eastAsia="宋体" w:cs="宋体"/>
          <w:b/>
          <w:bCs/>
          <w:color w:val="auto"/>
          <w:sz w:val="36"/>
          <w:szCs w:val="36"/>
          <w:highlight w:val="none"/>
        </w:rPr>
        <w:t>第七章 附件</w:t>
      </w:r>
      <w:bookmarkEnd w:id="195"/>
      <w:bookmarkEnd w:id="196"/>
      <w:bookmarkEnd w:id="197"/>
      <w:bookmarkEnd w:id="198"/>
    </w:p>
    <w:p w14:paraId="1470972F">
      <w:pPr>
        <w:pageBreakBefore w:val="0"/>
        <w:widowControl/>
        <w:kinsoku/>
        <w:overflowPunct/>
        <w:topLinePunct w:val="0"/>
        <w:bidi w:val="0"/>
        <w:spacing w:line="360" w:lineRule="auto"/>
        <w:jc w:val="center"/>
        <w:rPr>
          <w:rFonts w:hint="eastAsia" w:ascii="宋体" w:hAnsi="宋体" w:eastAsia="宋体" w:cs="宋体"/>
          <w:b/>
          <w:color w:val="auto"/>
          <w:sz w:val="28"/>
          <w:szCs w:val="28"/>
          <w:highlight w:val="none"/>
        </w:rPr>
      </w:pPr>
    </w:p>
    <w:p w14:paraId="7A61CCC4">
      <w:pPr>
        <w:keepNext/>
        <w:keepLines/>
        <w:pageBreakBefore w:val="0"/>
        <w:widowControl/>
        <w:kinsoku/>
        <w:overflowPunct/>
        <w:topLinePunct w:val="0"/>
        <w:bidi w:val="0"/>
        <w:spacing w:line="360" w:lineRule="auto"/>
        <w:contextualSpacing/>
        <w:jc w:val="left"/>
        <w:outlineLvl w:val="1"/>
        <w:rPr>
          <w:rFonts w:hint="eastAsia" w:ascii="宋体" w:hAnsi="宋体" w:eastAsia="宋体" w:cs="宋体"/>
          <w:b/>
          <w:bCs/>
          <w:color w:val="auto"/>
          <w:sz w:val="32"/>
          <w:szCs w:val="32"/>
          <w:highlight w:val="none"/>
        </w:rPr>
      </w:pPr>
      <w:bookmarkStart w:id="199" w:name="_Toc4079"/>
      <w:bookmarkStart w:id="200" w:name="_Toc8162"/>
      <w:bookmarkStart w:id="201" w:name="_Toc60755565"/>
      <w:r>
        <w:rPr>
          <w:rFonts w:hint="eastAsia" w:ascii="宋体" w:hAnsi="宋体" w:eastAsia="宋体" w:cs="宋体"/>
          <w:b/>
          <w:bCs/>
          <w:color w:val="auto"/>
          <w:sz w:val="32"/>
          <w:szCs w:val="32"/>
          <w:highlight w:val="none"/>
        </w:rPr>
        <w:t>附件一：</w:t>
      </w:r>
      <w:bookmarkEnd w:id="199"/>
      <w:bookmarkEnd w:id="200"/>
    </w:p>
    <w:p w14:paraId="2E12029A">
      <w:pPr>
        <w:keepNext/>
        <w:keepLines/>
        <w:pageBreakBefore w:val="0"/>
        <w:widowControl/>
        <w:kinsoku/>
        <w:overflowPunct/>
        <w:topLinePunct w:val="0"/>
        <w:bidi w:val="0"/>
        <w:spacing w:line="360" w:lineRule="auto"/>
        <w:contextualSpacing/>
        <w:jc w:val="center"/>
        <w:outlineLvl w:val="3"/>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河南省政府采购合同融资政策告知函</w:t>
      </w:r>
      <w:bookmarkEnd w:id="201"/>
    </w:p>
    <w:p w14:paraId="41064A93">
      <w:pPr>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w:t>
      </w:r>
      <w:r>
        <w:rPr>
          <w:rFonts w:hint="eastAsia" w:ascii="宋体" w:hAnsi="宋体" w:eastAsia="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bidi="ar"/>
        </w:rPr>
        <w:t>：</w:t>
      </w:r>
    </w:p>
    <w:p w14:paraId="6BE52201">
      <w:pPr>
        <w:pageBreakBefore w:val="0"/>
        <w:widowControl/>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欢迎贵公司参与河南省政府采购活动！</w:t>
      </w:r>
    </w:p>
    <w:p w14:paraId="60C3C681">
      <w:pPr>
        <w:pageBreakBefore w:val="0"/>
        <w:widowControl/>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政府采购合同融资是河南省财政厅支持中小微企业发展，针对参与政府采购活动的</w:t>
      </w:r>
      <w:r>
        <w:rPr>
          <w:rFonts w:hint="eastAsia" w:ascii="宋体" w:hAnsi="宋体" w:eastAsia="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bidi="ar"/>
        </w:rPr>
        <w:t>融资难、融资贵问题推出的一项融资政策。贵公司若成为本次政府采购项目的中标成交</w:t>
      </w:r>
      <w:r>
        <w:rPr>
          <w:rFonts w:hint="eastAsia" w:ascii="宋体" w:hAnsi="宋体" w:eastAsia="宋体" w:cs="宋体"/>
          <w:color w:val="auto"/>
          <w:kern w:val="0"/>
          <w:sz w:val="24"/>
          <w:szCs w:val="24"/>
          <w:highlight w:val="none"/>
          <w:lang w:eastAsia="zh-CN" w:bidi="ar"/>
        </w:rPr>
        <w:t>投标人</w:t>
      </w:r>
      <w:r>
        <w:rPr>
          <w:rFonts w:hint="eastAsia" w:ascii="宋体" w:hAnsi="宋体" w:eastAsia="宋体" w:cs="宋体"/>
          <w:color w:val="auto"/>
          <w:kern w:val="0"/>
          <w:sz w:val="24"/>
          <w:szCs w:val="24"/>
          <w:highlight w:val="none"/>
          <w:lang w:bidi="ar"/>
        </w:rPr>
        <w:t>，可持政府采购合同向金融机构申请贷款，无需抵押、担保，融资机构将根据《河南省政府采购合同融资工作实施方案》（豫财购〔2017〕10号），按照双方自愿的原则提供便捷、优惠的贷款服务。</w:t>
      </w:r>
    </w:p>
    <w:p w14:paraId="6CB6D62C">
      <w:pPr>
        <w:pageBreakBefore w:val="0"/>
        <w:widowControl/>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贷款渠道和提供贷款的金融机构，可在河南省政府采购网“河南省政府采购合同融资平台”查询联系。</w:t>
      </w:r>
    </w:p>
    <w:p w14:paraId="4A9FB4D1">
      <w:pPr>
        <w:pStyle w:val="5"/>
        <w:bidi w:val="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Arial" w:hAnsi="Arial" w:cs="Times New Roman"/>
          <w:b/>
          <w:bCs/>
          <w:color w:val="auto"/>
          <w:highlight w:val="none"/>
          <w:lang w:val="en-US" w:eastAsia="zh-CN"/>
        </w:rPr>
        <w:t>附件二：</w:t>
      </w:r>
    </w:p>
    <w:p w14:paraId="46D52A42">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工</w:t>
      </w:r>
      <w:r>
        <w:rPr>
          <w:rFonts w:hint="eastAsia" w:ascii="宋体" w:hAnsi="宋体" w:eastAsia="宋体" w:cs="宋体"/>
          <w:b/>
          <w:color w:val="auto"/>
          <w:sz w:val="24"/>
          <w:szCs w:val="24"/>
          <w:highlight w:val="none"/>
        </w:rPr>
        <w:t>业和信息化部、国家统计局、国家发展和改革委员会、财政部</w:t>
      </w:r>
    </w:p>
    <w:p w14:paraId="33A1CF48">
      <w:pPr>
        <w:widowControl/>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《关于印发 中小企业 划型标准规定的通知》</w:t>
      </w:r>
    </w:p>
    <w:p w14:paraId="365D2F06">
      <w:pPr>
        <w:widowControl/>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工信部联企业〔 2011 〕300 号</w:t>
      </w:r>
    </w:p>
    <w:p w14:paraId="4C2042A3">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4BF6803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号），工业和信息化部、国家统计局、发展改革委、财政部研究制定了《中小企业划型标准规定》。经国务院同意，现印发给你们，请遵照执行。</w:t>
      </w:r>
    </w:p>
    <w:p w14:paraId="0137EE4F">
      <w:pPr>
        <w:widowControl/>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工业和信息化部 国家统计局 国家发展和改革委员会 财政部</w:t>
      </w:r>
    </w:p>
    <w:p w14:paraId="27C3B5B7">
      <w:pPr>
        <w:widowControl/>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二○一一年六月十八日</w:t>
      </w:r>
    </w:p>
    <w:p w14:paraId="6777DB5F">
      <w:pPr>
        <w:widowControl/>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中小企业划型标准规定</w:t>
      </w:r>
    </w:p>
    <w:p w14:paraId="088DF2B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 号)，制定本规定。</w:t>
      </w:r>
    </w:p>
    <w:p w14:paraId="5D3B0AF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1B82303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0EB4FB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四、各行业划型标准为：详见下表</w:t>
      </w:r>
    </w:p>
    <w:p w14:paraId="0EC537E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2F6A8B7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3C04094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0A8158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3901D23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699D98E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十、本规定自发布之日起执行，原国家经贸委、原国家计委、财政部和国家统计局 2003年颁布的《中小企业标准暂行规定》同时废止。</w:t>
      </w:r>
    </w:p>
    <w:p w14:paraId="25204B7F">
      <w:pPr>
        <w:pStyle w:val="2"/>
        <w:rPr>
          <w:rFonts w:hint="eastAsia" w:ascii="宋体" w:hAnsi="宋体" w:eastAsia="宋体" w:cs="宋体"/>
          <w:color w:val="auto"/>
          <w:sz w:val="24"/>
          <w:szCs w:val="24"/>
          <w:highlight w:val="none"/>
        </w:rPr>
      </w:pPr>
    </w:p>
    <w:p w14:paraId="4EFC9BFF">
      <w:pPr>
        <w:pStyle w:val="3"/>
        <w:rPr>
          <w:rFonts w:hint="eastAsia" w:ascii="宋体" w:hAnsi="宋体" w:eastAsia="宋体" w:cs="宋体"/>
          <w:color w:val="auto"/>
          <w:sz w:val="24"/>
          <w:szCs w:val="24"/>
          <w:highlight w:val="none"/>
        </w:rPr>
      </w:pPr>
    </w:p>
    <w:p w14:paraId="77174C59">
      <w:pPr>
        <w:pStyle w:val="2"/>
        <w:rPr>
          <w:rFonts w:hint="eastAsia" w:ascii="宋体" w:hAnsi="宋体" w:eastAsia="宋体" w:cs="宋体"/>
          <w:color w:val="auto"/>
          <w:sz w:val="24"/>
          <w:szCs w:val="24"/>
          <w:highlight w:val="none"/>
        </w:rPr>
      </w:pPr>
    </w:p>
    <w:p w14:paraId="18A5F365">
      <w:pPr>
        <w:pStyle w:val="3"/>
        <w:rPr>
          <w:rFonts w:hint="eastAsia" w:ascii="宋体" w:hAnsi="宋体" w:eastAsia="宋体" w:cs="宋体"/>
          <w:color w:val="auto"/>
          <w:sz w:val="24"/>
          <w:szCs w:val="24"/>
          <w:highlight w:val="none"/>
        </w:rPr>
      </w:pPr>
    </w:p>
    <w:p w14:paraId="0B5CDDD0">
      <w:pPr>
        <w:pStyle w:val="2"/>
        <w:rPr>
          <w:rFonts w:hint="eastAsia" w:ascii="宋体" w:hAnsi="宋体" w:eastAsia="宋体" w:cs="宋体"/>
          <w:color w:val="auto"/>
          <w:sz w:val="24"/>
          <w:szCs w:val="24"/>
          <w:highlight w:val="none"/>
        </w:rPr>
      </w:pPr>
    </w:p>
    <w:p w14:paraId="57C3EBB0">
      <w:pPr>
        <w:pStyle w:val="3"/>
        <w:rPr>
          <w:rFonts w:hint="eastAsia" w:ascii="宋体" w:hAnsi="宋体" w:eastAsia="宋体" w:cs="宋体"/>
          <w:color w:val="auto"/>
          <w:sz w:val="24"/>
          <w:szCs w:val="24"/>
          <w:highlight w:val="none"/>
        </w:rPr>
      </w:pPr>
    </w:p>
    <w:p w14:paraId="3E8336A6">
      <w:pPr>
        <w:pStyle w:val="2"/>
        <w:rPr>
          <w:rFonts w:hint="eastAsia" w:ascii="宋体" w:hAnsi="宋体" w:eastAsia="宋体" w:cs="宋体"/>
          <w:color w:val="auto"/>
          <w:sz w:val="24"/>
          <w:szCs w:val="24"/>
          <w:highlight w:val="none"/>
        </w:rPr>
      </w:pPr>
    </w:p>
    <w:p w14:paraId="7C09440D">
      <w:pPr>
        <w:pStyle w:val="3"/>
        <w:rPr>
          <w:rFonts w:hint="eastAsia" w:ascii="宋体" w:hAnsi="宋体" w:eastAsia="宋体" w:cs="宋体"/>
          <w:color w:val="auto"/>
          <w:sz w:val="24"/>
          <w:szCs w:val="24"/>
          <w:highlight w:val="none"/>
        </w:rPr>
      </w:pPr>
    </w:p>
    <w:p w14:paraId="4E3500EE">
      <w:pPr>
        <w:pStyle w:val="2"/>
        <w:rPr>
          <w:rFonts w:hint="eastAsia" w:ascii="宋体" w:hAnsi="宋体" w:eastAsia="宋体" w:cs="宋体"/>
          <w:color w:val="auto"/>
          <w:sz w:val="24"/>
          <w:szCs w:val="24"/>
          <w:highlight w:val="none"/>
        </w:rPr>
      </w:pPr>
    </w:p>
    <w:p w14:paraId="43382A63">
      <w:pPr>
        <w:pStyle w:val="3"/>
        <w:rPr>
          <w:rFonts w:hint="eastAsia" w:ascii="宋体" w:hAnsi="宋体" w:eastAsia="宋体" w:cs="宋体"/>
          <w:color w:val="auto"/>
          <w:sz w:val="24"/>
          <w:szCs w:val="24"/>
          <w:highlight w:val="none"/>
        </w:rPr>
      </w:pPr>
    </w:p>
    <w:p w14:paraId="76B7C436">
      <w:pPr>
        <w:pStyle w:val="2"/>
        <w:rPr>
          <w:rFonts w:hint="eastAsia" w:ascii="宋体" w:hAnsi="宋体" w:eastAsia="宋体" w:cs="宋体"/>
          <w:color w:val="auto"/>
          <w:sz w:val="24"/>
          <w:szCs w:val="24"/>
          <w:highlight w:val="none"/>
        </w:rPr>
      </w:pPr>
    </w:p>
    <w:p w14:paraId="60595FE5">
      <w:pPr>
        <w:pStyle w:val="3"/>
        <w:rPr>
          <w:rFonts w:hint="eastAsia" w:ascii="宋体" w:hAnsi="宋体" w:eastAsia="宋体" w:cs="宋体"/>
          <w:color w:val="auto"/>
          <w:sz w:val="24"/>
          <w:szCs w:val="24"/>
          <w:highlight w:val="none"/>
        </w:rPr>
      </w:pPr>
    </w:p>
    <w:p w14:paraId="66730C29">
      <w:pPr>
        <w:pStyle w:val="2"/>
        <w:rPr>
          <w:rFonts w:hint="eastAsia" w:ascii="宋体" w:hAnsi="宋体" w:eastAsia="宋体" w:cs="宋体"/>
          <w:color w:val="auto"/>
          <w:sz w:val="24"/>
          <w:szCs w:val="24"/>
          <w:highlight w:val="none"/>
        </w:rPr>
      </w:pPr>
    </w:p>
    <w:p w14:paraId="3D4C47D1">
      <w:pPr>
        <w:pStyle w:val="2"/>
        <w:rPr>
          <w:rFonts w:hint="eastAsia" w:ascii="宋体" w:hAnsi="宋体" w:eastAsia="宋体" w:cs="宋体"/>
          <w:color w:val="auto"/>
          <w:sz w:val="24"/>
          <w:szCs w:val="24"/>
          <w:highlight w:val="none"/>
        </w:rPr>
      </w:pPr>
    </w:p>
    <w:p w14:paraId="660DA016">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河南省人民政府关于进一步促进小型微型企业健康发展的若干意见</w:t>
      </w:r>
    </w:p>
    <w:p w14:paraId="0C8FD84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豫政〔2012〕81号</w:t>
      </w:r>
    </w:p>
    <w:p w14:paraId="2DA7016C">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各省辖市、省直管试点县(市)人民政府,省人民政府各部门: </w:t>
      </w:r>
    </w:p>
    <w:p w14:paraId="1D7F7EA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为贯彻落实《国务院关于进一步支持小型微型企业健康发展的意见》(国发〔2012〕14 号)精神,破解小型微型企业发展难题,促进全省经济社会又好又快发展,结合我省实际,现就进一步促进小型微型企业健康发展提出如下意见,请认真贯彻落实。</w:t>
      </w:r>
    </w:p>
    <w:p w14:paraId="56E4E123">
      <w:pPr>
        <w:widowControl/>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河南省财政厅 河南省工业和信息化厅</w:t>
      </w:r>
    </w:p>
    <w:p w14:paraId="40DC25D4">
      <w:pPr>
        <w:widowControl/>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《关于政府采购促进小型微型企业发展的实施意见》（豫财购[2013]14 号）</w:t>
      </w:r>
    </w:p>
    <w:p w14:paraId="615D5EFF">
      <w:pPr>
        <w:widowControl/>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中小微企业划分标准表（工信部联企业〔2011〕300 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86"/>
        <w:gridCol w:w="844"/>
        <w:gridCol w:w="844"/>
        <w:gridCol w:w="844"/>
        <w:gridCol w:w="844"/>
        <w:gridCol w:w="844"/>
        <w:gridCol w:w="741"/>
        <w:gridCol w:w="844"/>
        <w:gridCol w:w="845"/>
        <w:gridCol w:w="845"/>
      </w:tblGrid>
      <w:tr w14:paraId="0369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noWrap w:val="0"/>
            <w:vAlign w:val="top"/>
          </w:tcPr>
          <w:p w14:paraId="3B6F71D0">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行业类</w:t>
            </w:r>
          </w:p>
          <w:p w14:paraId="3C5F0B0D">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型</w:t>
            </w:r>
          </w:p>
        </w:tc>
        <w:tc>
          <w:tcPr>
            <w:tcW w:w="1586" w:type="dxa"/>
            <w:vMerge w:val="restart"/>
            <w:noWrap w:val="0"/>
            <w:vAlign w:val="top"/>
          </w:tcPr>
          <w:p w14:paraId="529FC1D3">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中小微型企业</w:t>
            </w:r>
          </w:p>
        </w:tc>
        <w:tc>
          <w:tcPr>
            <w:tcW w:w="2532" w:type="dxa"/>
            <w:gridSpan w:val="3"/>
            <w:noWrap w:val="0"/>
            <w:vAlign w:val="top"/>
          </w:tcPr>
          <w:p w14:paraId="20EFD9EE">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w:t>
            </w:r>
          </w:p>
        </w:tc>
        <w:tc>
          <w:tcPr>
            <w:tcW w:w="2429" w:type="dxa"/>
            <w:gridSpan w:val="3"/>
            <w:noWrap w:val="0"/>
            <w:vAlign w:val="top"/>
          </w:tcPr>
          <w:p w14:paraId="20D25913">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w:t>
            </w:r>
          </w:p>
        </w:tc>
        <w:tc>
          <w:tcPr>
            <w:tcW w:w="2534" w:type="dxa"/>
            <w:gridSpan w:val="3"/>
            <w:noWrap w:val="0"/>
            <w:vAlign w:val="top"/>
          </w:tcPr>
          <w:p w14:paraId="7A95FC14">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资产总额</w:t>
            </w:r>
          </w:p>
        </w:tc>
      </w:tr>
      <w:tr w14:paraId="160C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59" w:type="dxa"/>
            <w:vMerge w:val="continue"/>
            <w:noWrap w:val="0"/>
            <w:vAlign w:val="top"/>
          </w:tcPr>
          <w:p w14:paraId="7344D94C">
            <w:pPr>
              <w:widowControl/>
              <w:jc w:val="center"/>
              <w:rPr>
                <w:rFonts w:hint="eastAsia" w:ascii="宋体" w:hAnsi="宋体" w:eastAsia="宋体" w:cs="宋体"/>
                <w:b/>
                <w:color w:val="auto"/>
                <w:sz w:val="24"/>
                <w:szCs w:val="24"/>
                <w:highlight w:val="none"/>
              </w:rPr>
            </w:pPr>
          </w:p>
        </w:tc>
        <w:tc>
          <w:tcPr>
            <w:tcW w:w="1586" w:type="dxa"/>
            <w:vMerge w:val="continue"/>
            <w:noWrap w:val="0"/>
            <w:vAlign w:val="top"/>
          </w:tcPr>
          <w:p w14:paraId="51087D4D">
            <w:pPr>
              <w:widowControl/>
              <w:jc w:val="center"/>
              <w:rPr>
                <w:rFonts w:hint="eastAsia" w:ascii="宋体" w:hAnsi="宋体" w:eastAsia="宋体" w:cs="宋体"/>
                <w:b/>
                <w:color w:val="auto"/>
                <w:sz w:val="24"/>
                <w:szCs w:val="24"/>
                <w:highlight w:val="none"/>
              </w:rPr>
            </w:pPr>
          </w:p>
        </w:tc>
        <w:tc>
          <w:tcPr>
            <w:tcW w:w="844" w:type="dxa"/>
            <w:noWrap w:val="0"/>
            <w:vAlign w:val="top"/>
          </w:tcPr>
          <w:p w14:paraId="517A16AB">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w:t>
            </w:r>
          </w:p>
        </w:tc>
        <w:tc>
          <w:tcPr>
            <w:tcW w:w="844" w:type="dxa"/>
            <w:noWrap w:val="0"/>
            <w:vAlign w:val="top"/>
          </w:tcPr>
          <w:p w14:paraId="37048036">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w:t>
            </w:r>
          </w:p>
        </w:tc>
        <w:tc>
          <w:tcPr>
            <w:tcW w:w="844" w:type="dxa"/>
            <w:noWrap w:val="0"/>
            <w:vAlign w:val="top"/>
          </w:tcPr>
          <w:p w14:paraId="3144FA82">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微</w:t>
            </w:r>
          </w:p>
        </w:tc>
        <w:tc>
          <w:tcPr>
            <w:tcW w:w="844" w:type="dxa"/>
            <w:noWrap w:val="0"/>
            <w:vAlign w:val="top"/>
          </w:tcPr>
          <w:p w14:paraId="6829BFE6">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w:t>
            </w:r>
          </w:p>
        </w:tc>
        <w:tc>
          <w:tcPr>
            <w:tcW w:w="844" w:type="dxa"/>
            <w:noWrap w:val="0"/>
            <w:vAlign w:val="top"/>
          </w:tcPr>
          <w:p w14:paraId="2F82390C">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w:t>
            </w:r>
          </w:p>
        </w:tc>
        <w:tc>
          <w:tcPr>
            <w:tcW w:w="741" w:type="dxa"/>
            <w:noWrap w:val="0"/>
            <w:vAlign w:val="top"/>
          </w:tcPr>
          <w:p w14:paraId="6726E542">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微</w:t>
            </w:r>
          </w:p>
        </w:tc>
        <w:tc>
          <w:tcPr>
            <w:tcW w:w="844" w:type="dxa"/>
            <w:noWrap w:val="0"/>
            <w:vAlign w:val="top"/>
          </w:tcPr>
          <w:p w14:paraId="65D49D41">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w:t>
            </w:r>
          </w:p>
        </w:tc>
        <w:tc>
          <w:tcPr>
            <w:tcW w:w="845" w:type="dxa"/>
            <w:noWrap w:val="0"/>
            <w:vAlign w:val="top"/>
          </w:tcPr>
          <w:p w14:paraId="2723F339">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w:t>
            </w:r>
          </w:p>
        </w:tc>
        <w:tc>
          <w:tcPr>
            <w:tcW w:w="845" w:type="dxa"/>
            <w:noWrap w:val="0"/>
            <w:vAlign w:val="top"/>
          </w:tcPr>
          <w:p w14:paraId="4D0CCDF1">
            <w:pPr>
              <w:widowControl/>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微</w:t>
            </w:r>
          </w:p>
        </w:tc>
      </w:tr>
      <w:tr w14:paraId="6DD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707A7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农、林、</w:t>
            </w:r>
          </w:p>
          <w:p w14:paraId="588CD9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牧、渔</w:t>
            </w:r>
          </w:p>
          <w:p w14:paraId="07BF9E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w:t>
            </w:r>
          </w:p>
        </w:tc>
        <w:tc>
          <w:tcPr>
            <w:tcW w:w="1586" w:type="dxa"/>
            <w:noWrap w:val="0"/>
            <w:vAlign w:val="top"/>
          </w:tcPr>
          <w:p w14:paraId="25098C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营业收入20000 万元以下</w:t>
            </w:r>
          </w:p>
        </w:tc>
        <w:tc>
          <w:tcPr>
            <w:tcW w:w="844" w:type="dxa"/>
            <w:noWrap w:val="0"/>
            <w:vAlign w:val="top"/>
          </w:tcPr>
          <w:p w14:paraId="1E28D2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500万元及以上</w:t>
            </w:r>
          </w:p>
        </w:tc>
        <w:tc>
          <w:tcPr>
            <w:tcW w:w="844" w:type="dxa"/>
            <w:noWrap w:val="0"/>
            <w:vAlign w:val="top"/>
          </w:tcPr>
          <w:p w14:paraId="79016F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 万</w:t>
            </w:r>
          </w:p>
          <w:p w14:paraId="4E324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元及</w:t>
            </w:r>
          </w:p>
          <w:p w14:paraId="6D51E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w:t>
            </w:r>
          </w:p>
        </w:tc>
        <w:tc>
          <w:tcPr>
            <w:tcW w:w="844" w:type="dxa"/>
            <w:noWrap w:val="0"/>
            <w:vAlign w:val="top"/>
          </w:tcPr>
          <w:p w14:paraId="367BC6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 万元以下</w:t>
            </w:r>
          </w:p>
        </w:tc>
        <w:tc>
          <w:tcPr>
            <w:tcW w:w="844" w:type="dxa"/>
            <w:noWrap w:val="0"/>
            <w:vAlign w:val="top"/>
          </w:tcPr>
          <w:p w14:paraId="3858FD4F">
            <w:pPr>
              <w:widowControl/>
              <w:jc w:val="center"/>
              <w:rPr>
                <w:rFonts w:hint="eastAsia" w:ascii="宋体" w:hAnsi="宋体" w:eastAsia="宋体" w:cs="宋体"/>
                <w:color w:val="auto"/>
                <w:sz w:val="24"/>
                <w:szCs w:val="24"/>
                <w:highlight w:val="none"/>
              </w:rPr>
            </w:pPr>
          </w:p>
        </w:tc>
        <w:tc>
          <w:tcPr>
            <w:tcW w:w="844" w:type="dxa"/>
            <w:noWrap w:val="0"/>
            <w:vAlign w:val="top"/>
          </w:tcPr>
          <w:p w14:paraId="4460BF96">
            <w:pPr>
              <w:widowControl/>
              <w:jc w:val="center"/>
              <w:rPr>
                <w:rFonts w:hint="eastAsia" w:ascii="宋体" w:hAnsi="宋体" w:eastAsia="宋体" w:cs="宋体"/>
                <w:color w:val="auto"/>
                <w:sz w:val="24"/>
                <w:szCs w:val="24"/>
                <w:highlight w:val="none"/>
              </w:rPr>
            </w:pPr>
          </w:p>
        </w:tc>
        <w:tc>
          <w:tcPr>
            <w:tcW w:w="741" w:type="dxa"/>
            <w:noWrap w:val="0"/>
            <w:vAlign w:val="top"/>
          </w:tcPr>
          <w:p w14:paraId="24D11E91">
            <w:pPr>
              <w:widowControl/>
              <w:jc w:val="center"/>
              <w:rPr>
                <w:rFonts w:hint="eastAsia" w:ascii="宋体" w:hAnsi="宋体" w:eastAsia="宋体" w:cs="宋体"/>
                <w:color w:val="auto"/>
                <w:sz w:val="24"/>
                <w:szCs w:val="24"/>
                <w:highlight w:val="none"/>
              </w:rPr>
            </w:pPr>
          </w:p>
        </w:tc>
        <w:tc>
          <w:tcPr>
            <w:tcW w:w="844" w:type="dxa"/>
            <w:noWrap w:val="0"/>
            <w:vAlign w:val="top"/>
          </w:tcPr>
          <w:p w14:paraId="718D96F8">
            <w:pPr>
              <w:widowControl/>
              <w:jc w:val="center"/>
              <w:rPr>
                <w:rFonts w:hint="eastAsia" w:ascii="宋体" w:hAnsi="宋体" w:eastAsia="宋体" w:cs="宋体"/>
                <w:color w:val="auto"/>
                <w:sz w:val="24"/>
                <w:szCs w:val="24"/>
                <w:highlight w:val="none"/>
              </w:rPr>
            </w:pPr>
          </w:p>
        </w:tc>
        <w:tc>
          <w:tcPr>
            <w:tcW w:w="845" w:type="dxa"/>
            <w:noWrap w:val="0"/>
            <w:vAlign w:val="top"/>
          </w:tcPr>
          <w:p w14:paraId="55132E63">
            <w:pPr>
              <w:widowControl/>
              <w:jc w:val="center"/>
              <w:rPr>
                <w:rFonts w:hint="eastAsia" w:ascii="宋体" w:hAnsi="宋体" w:eastAsia="宋体" w:cs="宋体"/>
                <w:b/>
                <w:color w:val="auto"/>
                <w:sz w:val="24"/>
                <w:szCs w:val="24"/>
                <w:highlight w:val="none"/>
              </w:rPr>
            </w:pPr>
          </w:p>
        </w:tc>
        <w:tc>
          <w:tcPr>
            <w:tcW w:w="845" w:type="dxa"/>
            <w:noWrap w:val="0"/>
            <w:vAlign w:val="top"/>
          </w:tcPr>
          <w:p w14:paraId="5DD9F905">
            <w:pPr>
              <w:widowControl/>
              <w:jc w:val="center"/>
              <w:rPr>
                <w:rFonts w:hint="eastAsia" w:ascii="宋体" w:hAnsi="宋体" w:eastAsia="宋体" w:cs="宋体"/>
                <w:b/>
                <w:color w:val="auto"/>
                <w:sz w:val="24"/>
                <w:szCs w:val="24"/>
                <w:highlight w:val="none"/>
              </w:rPr>
            </w:pPr>
          </w:p>
        </w:tc>
      </w:tr>
      <w:tr w14:paraId="79C4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029FB1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586" w:type="dxa"/>
            <w:noWrap w:val="0"/>
            <w:vAlign w:val="top"/>
          </w:tcPr>
          <w:p w14:paraId="512862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 人以下或营业收入 40000 万元以下</w:t>
            </w:r>
          </w:p>
        </w:tc>
        <w:tc>
          <w:tcPr>
            <w:tcW w:w="844" w:type="dxa"/>
            <w:noWrap w:val="0"/>
            <w:vAlign w:val="top"/>
          </w:tcPr>
          <w:p w14:paraId="7C87B6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w:t>
            </w:r>
          </w:p>
          <w:p w14:paraId="350A87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万元及以上</w:t>
            </w:r>
          </w:p>
        </w:tc>
        <w:tc>
          <w:tcPr>
            <w:tcW w:w="844" w:type="dxa"/>
            <w:noWrap w:val="0"/>
            <w:vAlign w:val="top"/>
          </w:tcPr>
          <w:p w14:paraId="0292BD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p w14:paraId="650B1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47FF89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及以上</w:t>
            </w:r>
          </w:p>
        </w:tc>
        <w:tc>
          <w:tcPr>
            <w:tcW w:w="844" w:type="dxa"/>
            <w:noWrap w:val="0"/>
            <w:vAlign w:val="top"/>
          </w:tcPr>
          <w:p w14:paraId="685073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p w14:paraId="339FB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700EC3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及以上</w:t>
            </w:r>
          </w:p>
        </w:tc>
        <w:tc>
          <w:tcPr>
            <w:tcW w:w="844" w:type="dxa"/>
            <w:noWrap w:val="0"/>
            <w:vAlign w:val="top"/>
          </w:tcPr>
          <w:p w14:paraId="38F8BB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p w14:paraId="53316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人及</w:t>
            </w:r>
          </w:p>
          <w:p w14:paraId="1F8E95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w:t>
            </w:r>
          </w:p>
          <w:p w14:paraId="375555D9">
            <w:pPr>
              <w:widowControl/>
              <w:jc w:val="center"/>
              <w:rPr>
                <w:rFonts w:hint="eastAsia" w:ascii="宋体" w:hAnsi="宋体" w:eastAsia="宋体" w:cs="宋体"/>
                <w:color w:val="auto"/>
                <w:sz w:val="24"/>
                <w:szCs w:val="24"/>
                <w:highlight w:val="none"/>
              </w:rPr>
            </w:pPr>
          </w:p>
        </w:tc>
        <w:tc>
          <w:tcPr>
            <w:tcW w:w="844" w:type="dxa"/>
            <w:noWrap w:val="0"/>
            <w:vAlign w:val="top"/>
          </w:tcPr>
          <w:p w14:paraId="612A3B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人及以上</w:t>
            </w:r>
          </w:p>
          <w:p w14:paraId="1A012DED">
            <w:pPr>
              <w:widowControl/>
              <w:jc w:val="center"/>
              <w:rPr>
                <w:rFonts w:hint="eastAsia" w:ascii="宋体" w:hAnsi="宋体" w:eastAsia="宋体" w:cs="宋体"/>
                <w:color w:val="auto"/>
                <w:sz w:val="24"/>
                <w:szCs w:val="24"/>
                <w:highlight w:val="none"/>
              </w:rPr>
            </w:pPr>
          </w:p>
        </w:tc>
        <w:tc>
          <w:tcPr>
            <w:tcW w:w="741" w:type="dxa"/>
            <w:noWrap w:val="0"/>
            <w:vAlign w:val="top"/>
          </w:tcPr>
          <w:p w14:paraId="48D949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p w14:paraId="68D66B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人以</w:t>
            </w:r>
          </w:p>
          <w:p w14:paraId="40ADDB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w:t>
            </w:r>
          </w:p>
        </w:tc>
        <w:tc>
          <w:tcPr>
            <w:tcW w:w="844" w:type="dxa"/>
            <w:noWrap w:val="0"/>
            <w:vAlign w:val="top"/>
          </w:tcPr>
          <w:p w14:paraId="0995DAA1">
            <w:pPr>
              <w:widowControl/>
              <w:jc w:val="center"/>
              <w:rPr>
                <w:rFonts w:hint="eastAsia" w:ascii="宋体" w:hAnsi="宋体" w:eastAsia="宋体" w:cs="宋体"/>
                <w:color w:val="auto"/>
                <w:sz w:val="24"/>
                <w:szCs w:val="24"/>
                <w:highlight w:val="none"/>
              </w:rPr>
            </w:pPr>
          </w:p>
        </w:tc>
        <w:tc>
          <w:tcPr>
            <w:tcW w:w="845" w:type="dxa"/>
            <w:noWrap w:val="0"/>
            <w:vAlign w:val="top"/>
          </w:tcPr>
          <w:p w14:paraId="018BAA04">
            <w:pPr>
              <w:widowControl/>
              <w:jc w:val="center"/>
              <w:rPr>
                <w:rFonts w:hint="eastAsia" w:ascii="宋体" w:hAnsi="宋体" w:eastAsia="宋体" w:cs="宋体"/>
                <w:color w:val="auto"/>
                <w:sz w:val="24"/>
                <w:szCs w:val="24"/>
                <w:highlight w:val="none"/>
              </w:rPr>
            </w:pPr>
          </w:p>
        </w:tc>
        <w:tc>
          <w:tcPr>
            <w:tcW w:w="845" w:type="dxa"/>
            <w:noWrap w:val="0"/>
            <w:vAlign w:val="top"/>
          </w:tcPr>
          <w:p w14:paraId="6140BADC">
            <w:pPr>
              <w:widowControl/>
              <w:jc w:val="center"/>
              <w:rPr>
                <w:rFonts w:hint="eastAsia" w:ascii="宋体" w:hAnsi="宋体" w:eastAsia="宋体" w:cs="宋体"/>
                <w:color w:val="auto"/>
                <w:sz w:val="24"/>
                <w:szCs w:val="24"/>
                <w:highlight w:val="none"/>
              </w:rPr>
            </w:pPr>
          </w:p>
        </w:tc>
      </w:tr>
      <w:tr w14:paraId="4D7E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6AA34E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建筑业</w:t>
            </w:r>
          </w:p>
        </w:tc>
        <w:tc>
          <w:tcPr>
            <w:tcW w:w="1586" w:type="dxa"/>
            <w:noWrap w:val="0"/>
            <w:vAlign w:val="top"/>
          </w:tcPr>
          <w:p w14:paraId="3045A0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 80000万元以下或资产总额</w:t>
            </w:r>
          </w:p>
          <w:p w14:paraId="137FED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80000 万元</w:t>
            </w:r>
          </w:p>
        </w:tc>
        <w:tc>
          <w:tcPr>
            <w:tcW w:w="844" w:type="dxa"/>
            <w:noWrap w:val="0"/>
            <w:vAlign w:val="top"/>
          </w:tcPr>
          <w:p w14:paraId="72ECDE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6000</w:t>
            </w:r>
          </w:p>
          <w:p w14:paraId="109ABA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3DB1F7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1323B6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tc>
        <w:tc>
          <w:tcPr>
            <w:tcW w:w="844" w:type="dxa"/>
            <w:noWrap w:val="0"/>
            <w:vAlign w:val="top"/>
          </w:tcPr>
          <w:p w14:paraId="3D63D5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 万元</w:t>
            </w:r>
          </w:p>
          <w:p w14:paraId="509117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及以上</w:t>
            </w:r>
          </w:p>
        </w:tc>
        <w:tc>
          <w:tcPr>
            <w:tcW w:w="844" w:type="dxa"/>
            <w:noWrap w:val="0"/>
            <w:vAlign w:val="top"/>
          </w:tcPr>
          <w:p w14:paraId="704F5C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p w14:paraId="1E5401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095CD2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249782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w:t>
            </w:r>
          </w:p>
        </w:tc>
        <w:tc>
          <w:tcPr>
            <w:tcW w:w="844" w:type="dxa"/>
            <w:noWrap w:val="0"/>
            <w:vAlign w:val="top"/>
          </w:tcPr>
          <w:p w14:paraId="78253F3B">
            <w:pPr>
              <w:widowControl/>
              <w:jc w:val="center"/>
              <w:rPr>
                <w:rFonts w:hint="eastAsia" w:ascii="宋体" w:hAnsi="宋体" w:eastAsia="宋体" w:cs="宋体"/>
                <w:color w:val="auto"/>
                <w:sz w:val="24"/>
                <w:szCs w:val="24"/>
                <w:highlight w:val="none"/>
              </w:rPr>
            </w:pPr>
          </w:p>
        </w:tc>
        <w:tc>
          <w:tcPr>
            <w:tcW w:w="844" w:type="dxa"/>
            <w:noWrap w:val="0"/>
            <w:vAlign w:val="top"/>
          </w:tcPr>
          <w:p w14:paraId="4F715923">
            <w:pPr>
              <w:widowControl/>
              <w:jc w:val="center"/>
              <w:rPr>
                <w:rFonts w:hint="eastAsia" w:ascii="宋体" w:hAnsi="宋体" w:eastAsia="宋体" w:cs="宋体"/>
                <w:color w:val="auto"/>
                <w:sz w:val="24"/>
                <w:szCs w:val="24"/>
                <w:highlight w:val="none"/>
              </w:rPr>
            </w:pPr>
          </w:p>
        </w:tc>
        <w:tc>
          <w:tcPr>
            <w:tcW w:w="741" w:type="dxa"/>
            <w:noWrap w:val="0"/>
            <w:vAlign w:val="top"/>
          </w:tcPr>
          <w:p w14:paraId="14557BAC">
            <w:pPr>
              <w:widowControl/>
              <w:jc w:val="center"/>
              <w:rPr>
                <w:rFonts w:hint="eastAsia" w:ascii="宋体" w:hAnsi="宋体" w:eastAsia="宋体" w:cs="宋体"/>
                <w:color w:val="auto"/>
                <w:sz w:val="24"/>
                <w:szCs w:val="24"/>
                <w:highlight w:val="none"/>
              </w:rPr>
            </w:pPr>
          </w:p>
        </w:tc>
        <w:tc>
          <w:tcPr>
            <w:tcW w:w="844" w:type="dxa"/>
            <w:noWrap w:val="0"/>
            <w:vAlign w:val="top"/>
          </w:tcPr>
          <w:p w14:paraId="249FE9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w:t>
            </w:r>
          </w:p>
          <w:p w14:paraId="5CF34CD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16792E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0CC165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tc>
        <w:tc>
          <w:tcPr>
            <w:tcW w:w="845" w:type="dxa"/>
            <w:noWrap w:val="0"/>
            <w:vAlign w:val="top"/>
          </w:tcPr>
          <w:p w14:paraId="4BA695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p w14:paraId="426465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789F9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490123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tc>
        <w:tc>
          <w:tcPr>
            <w:tcW w:w="845" w:type="dxa"/>
            <w:noWrap w:val="0"/>
            <w:vAlign w:val="top"/>
          </w:tcPr>
          <w:p w14:paraId="6BA783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p w14:paraId="4D1BFF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511765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642B42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w:t>
            </w:r>
          </w:p>
        </w:tc>
      </w:tr>
      <w:tr w14:paraId="0D71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65DE07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批发业</w:t>
            </w:r>
          </w:p>
        </w:tc>
        <w:tc>
          <w:tcPr>
            <w:tcW w:w="1586" w:type="dxa"/>
            <w:noWrap w:val="0"/>
            <w:vAlign w:val="top"/>
          </w:tcPr>
          <w:p w14:paraId="001A6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 200 人以下或营业收入 40000万元以下</w:t>
            </w:r>
          </w:p>
        </w:tc>
        <w:tc>
          <w:tcPr>
            <w:tcW w:w="844" w:type="dxa"/>
            <w:noWrap w:val="0"/>
            <w:vAlign w:val="top"/>
          </w:tcPr>
          <w:p w14:paraId="2083E4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w:t>
            </w:r>
          </w:p>
          <w:p w14:paraId="3370F7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73E47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25176F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tc>
        <w:tc>
          <w:tcPr>
            <w:tcW w:w="844" w:type="dxa"/>
            <w:noWrap w:val="0"/>
            <w:vAlign w:val="top"/>
          </w:tcPr>
          <w:p w14:paraId="459BD3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 万元</w:t>
            </w:r>
          </w:p>
          <w:p w14:paraId="21D96D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5B7EEA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tc>
        <w:tc>
          <w:tcPr>
            <w:tcW w:w="844" w:type="dxa"/>
            <w:noWrap w:val="0"/>
            <w:vAlign w:val="top"/>
          </w:tcPr>
          <w:p w14:paraId="5EA712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p w14:paraId="412CCC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5EEE73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2C68CE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w:t>
            </w:r>
          </w:p>
        </w:tc>
        <w:tc>
          <w:tcPr>
            <w:tcW w:w="844" w:type="dxa"/>
            <w:noWrap w:val="0"/>
            <w:vAlign w:val="top"/>
          </w:tcPr>
          <w:p w14:paraId="4941B1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人</w:t>
            </w:r>
          </w:p>
          <w:p w14:paraId="4BE98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21CF45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p w14:paraId="290C9735">
            <w:pPr>
              <w:widowControl/>
              <w:jc w:val="center"/>
              <w:rPr>
                <w:rFonts w:hint="eastAsia" w:ascii="宋体" w:hAnsi="宋体" w:eastAsia="宋体" w:cs="宋体"/>
                <w:color w:val="auto"/>
                <w:sz w:val="24"/>
                <w:szCs w:val="24"/>
                <w:highlight w:val="none"/>
              </w:rPr>
            </w:pPr>
          </w:p>
        </w:tc>
        <w:tc>
          <w:tcPr>
            <w:tcW w:w="844" w:type="dxa"/>
            <w:noWrap w:val="0"/>
            <w:vAlign w:val="top"/>
          </w:tcPr>
          <w:p w14:paraId="7C9491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5人</w:t>
            </w:r>
          </w:p>
          <w:p w14:paraId="4E466F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5129F2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p w14:paraId="0CF67764">
            <w:pPr>
              <w:widowControl/>
              <w:jc w:val="center"/>
              <w:rPr>
                <w:rFonts w:hint="eastAsia" w:ascii="宋体" w:hAnsi="宋体" w:eastAsia="宋体" w:cs="宋体"/>
                <w:color w:val="auto"/>
                <w:sz w:val="24"/>
                <w:szCs w:val="24"/>
                <w:highlight w:val="none"/>
              </w:rPr>
            </w:pPr>
          </w:p>
        </w:tc>
        <w:tc>
          <w:tcPr>
            <w:tcW w:w="741" w:type="dxa"/>
            <w:noWrap w:val="0"/>
            <w:vAlign w:val="top"/>
          </w:tcPr>
          <w:p w14:paraId="47B15B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人</w:t>
            </w:r>
          </w:p>
          <w:p w14:paraId="2B6182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w:t>
            </w:r>
          </w:p>
        </w:tc>
        <w:tc>
          <w:tcPr>
            <w:tcW w:w="844" w:type="dxa"/>
            <w:noWrap w:val="0"/>
            <w:vAlign w:val="top"/>
          </w:tcPr>
          <w:p w14:paraId="60FD7424">
            <w:pPr>
              <w:widowControl/>
              <w:jc w:val="center"/>
              <w:rPr>
                <w:rFonts w:hint="eastAsia" w:ascii="宋体" w:hAnsi="宋体" w:eastAsia="宋体" w:cs="宋体"/>
                <w:color w:val="auto"/>
                <w:sz w:val="24"/>
                <w:szCs w:val="24"/>
                <w:highlight w:val="none"/>
              </w:rPr>
            </w:pPr>
          </w:p>
        </w:tc>
        <w:tc>
          <w:tcPr>
            <w:tcW w:w="845" w:type="dxa"/>
            <w:noWrap w:val="0"/>
            <w:vAlign w:val="top"/>
          </w:tcPr>
          <w:p w14:paraId="40047D0A">
            <w:pPr>
              <w:widowControl/>
              <w:jc w:val="center"/>
              <w:rPr>
                <w:rFonts w:hint="eastAsia" w:ascii="宋体" w:hAnsi="宋体" w:eastAsia="宋体" w:cs="宋体"/>
                <w:color w:val="auto"/>
                <w:sz w:val="24"/>
                <w:szCs w:val="24"/>
                <w:highlight w:val="none"/>
              </w:rPr>
            </w:pPr>
          </w:p>
        </w:tc>
        <w:tc>
          <w:tcPr>
            <w:tcW w:w="845" w:type="dxa"/>
            <w:noWrap w:val="0"/>
            <w:vAlign w:val="top"/>
          </w:tcPr>
          <w:p w14:paraId="758617CA">
            <w:pPr>
              <w:widowControl/>
              <w:jc w:val="center"/>
              <w:rPr>
                <w:rFonts w:hint="eastAsia" w:ascii="宋体" w:hAnsi="宋体" w:eastAsia="宋体" w:cs="宋体"/>
                <w:color w:val="auto"/>
                <w:sz w:val="24"/>
                <w:szCs w:val="24"/>
                <w:highlight w:val="none"/>
              </w:rPr>
            </w:pPr>
          </w:p>
        </w:tc>
      </w:tr>
      <w:tr w14:paraId="405B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465631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零售业</w:t>
            </w:r>
          </w:p>
        </w:tc>
        <w:tc>
          <w:tcPr>
            <w:tcW w:w="1586" w:type="dxa"/>
            <w:noWrap w:val="0"/>
            <w:vAlign w:val="top"/>
          </w:tcPr>
          <w:p w14:paraId="411E1C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 300 人以下或营业收入 20000万元以下</w:t>
            </w:r>
          </w:p>
        </w:tc>
        <w:tc>
          <w:tcPr>
            <w:tcW w:w="844" w:type="dxa"/>
            <w:noWrap w:val="0"/>
            <w:vAlign w:val="top"/>
          </w:tcPr>
          <w:p w14:paraId="5D59F9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p w14:paraId="61895B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29944C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53376E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tc>
        <w:tc>
          <w:tcPr>
            <w:tcW w:w="844" w:type="dxa"/>
            <w:noWrap w:val="0"/>
            <w:vAlign w:val="top"/>
          </w:tcPr>
          <w:p w14:paraId="226145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4" w:type="dxa"/>
            <w:noWrap w:val="0"/>
            <w:vAlign w:val="top"/>
          </w:tcPr>
          <w:p w14:paraId="46B451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p w14:paraId="7998BB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p w14:paraId="61D512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w:t>
            </w:r>
          </w:p>
          <w:p w14:paraId="6C29EE0C">
            <w:pPr>
              <w:widowControl/>
              <w:jc w:val="center"/>
              <w:rPr>
                <w:rFonts w:hint="eastAsia" w:ascii="宋体" w:hAnsi="宋体" w:eastAsia="宋体" w:cs="宋体"/>
                <w:color w:val="auto"/>
                <w:sz w:val="24"/>
                <w:szCs w:val="24"/>
                <w:highlight w:val="none"/>
              </w:rPr>
            </w:pPr>
          </w:p>
        </w:tc>
        <w:tc>
          <w:tcPr>
            <w:tcW w:w="844" w:type="dxa"/>
            <w:noWrap w:val="0"/>
            <w:vAlign w:val="top"/>
          </w:tcPr>
          <w:p w14:paraId="6C9EDD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 人</w:t>
            </w:r>
          </w:p>
          <w:p w14:paraId="28BCB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70241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p w14:paraId="274489AD">
            <w:pPr>
              <w:widowControl/>
              <w:jc w:val="center"/>
              <w:rPr>
                <w:rFonts w:hint="eastAsia" w:ascii="宋体" w:hAnsi="宋体" w:eastAsia="宋体" w:cs="宋体"/>
                <w:color w:val="auto"/>
                <w:sz w:val="24"/>
                <w:szCs w:val="24"/>
                <w:highlight w:val="none"/>
              </w:rPr>
            </w:pPr>
          </w:p>
        </w:tc>
        <w:tc>
          <w:tcPr>
            <w:tcW w:w="844" w:type="dxa"/>
            <w:noWrap w:val="0"/>
            <w:vAlign w:val="top"/>
          </w:tcPr>
          <w:p w14:paraId="690959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人</w:t>
            </w:r>
          </w:p>
          <w:p w14:paraId="761339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及以</w:t>
            </w:r>
          </w:p>
          <w:p w14:paraId="20638D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p>
          <w:p w14:paraId="32BC1133">
            <w:pPr>
              <w:widowControl/>
              <w:jc w:val="center"/>
              <w:rPr>
                <w:rFonts w:hint="eastAsia" w:ascii="宋体" w:hAnsi="宋体" w:eastAsia="宋体" w:cs="宋体"/>
                <w:color w:val="auto"/>
                <w:sz w:val="24"/>
                <w:szCs w:val="24"/>
                <w:highlight w:val="none"/>
              </w:rPr>
            </w:pPr>
          </w:p>
        </w:tc>
        <w:tc>
          <w:tcPr>
            <w:tcW w:w="741" w:type="dxa"/>
            <w:noWrap w:val="0"/>
            <w:vAlign w:val="top"/>
          </w:tcPr>
          <w:p w14:paraId="7A990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p w14:paraId="1D377C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人以</w:t>
            </w:r>
          </w:p>
          <w:p w14:paraId="7AD4C1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w:t>
            </w:r>
          </w:p>
        </w:tc>
        <w:tc>
          <w:tcPr>
            <w:tcW w:w="844" w:type="dxa"/>
            <w:noWrap w:val="0"/>
            <w:vAlign w:val="top"/>
          </w:tcPr>
          <w:p w14:paraId="0074B335">
            <w:pPr>
              <w:widowControl/>
              <w:jc w:val="center"/>
              <w:rPr>
                <w:rFonts w:hint="eastAsia" w:ascii="宋体" w:hAnsi="宋体" w:eastAsia="宋体" w:cs="宋体"/>
                <w:color w:val="auto"/>
                <w:sz w:val="24"/>
                <w:szCs w:val="24"/>
                <w:highlight w:val="none"/>
              </w:rPr>
            </w:pPr>
          </w:p>
        </w:tc>
        <w:tc>
          <w:tcPr>
            <w:tcW w:w="845" w:type="dxa"/>
            <w:noWrap w:val="0"/>
            <w:vAlign w:val="top"/>
          </w:tcPr>
          <w:p w14:paraId="1FA77003">
            <w:pPr>
              <w:widowControl/>
              <w:jc w:val="center"/>
              <w:rPr>
                <w:rFonts w:hint="eastAsia" w:ascii="宋体" w:hAnsi="宋体" w:eastAsia="宋体" w:cs="宋体"/>
                <w:color w:val="auto"/>
                <w:sz w:val="24"/>
                <w:szCs w:val="24"/>
                <w:highlight w:val="none"/>
              </w:rPr>
            </w:pPr>
          </w:p>
        </w:tc>
        <w:tc>
          <w:tcPr>
            <w:tcW w:w="845" w:type="dxa"/>
            <w:noWrap w:val="0"/>
            <w:vAlign w:val="top"/>
          </w:tcPr>
          <w:p w14:paraId="2E5066B6">
            <w:pPr>
              <w:widowControl/>
              <w:jc w:val="center"/>
              <w:rPr>
                <w:rFonts w:hint="eastAsia" w:ascii="宋体" w:hAnsi="宋体" w:eastAsia="宋体" w:cs="宋体"/>
                <w:color w:val="auto"/>
                <w:sz w:val="24"/>
                <w:szCs w:val="24"/>
                <w:highlight w:val="none"/>
              </w:rPr>
            </w:pPr>
          </w:p>
        </w:tc>
      </w:tr>
      <w:tr w14:paraId="68B9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77446A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交通运输业</w:t>
            </w:r>
          </w:p>
        </w:tc>
        <w:tc>
          <w:tcPr>
            <w:tcW w:w="1586" w:type="dxa"/>
            <w:noWrap w:val="0"/>
            <w:vAlign w:val="top"/>
          </w:tcPr>
          <w:p w14:paraId="3A3C4A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 1000人以下或营业收入30000 万元以下</w:t>
            </w:r>
          </w:p>
        </w:tc>
        <w:tc>
          <w:tcPr>
            <w:tcW w:w="844" w:type="dxa"/>
            <w:noWrap w:val="0"/>
            <w:vAlign w:val="top"/>
          </w:tcPr>
          <w:p w14:paraId="4C7E04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3000万元及以上</w:t>
            </w:r>
          </w:p>
        </w:tc>
        <w:tc>
          <w:tcPr>
            <w:tcW w:w="844" w:type="dxa"/>
            <w:noWrap w:val="0"/>
            <w:vAlign w:val="top"/>
          </w:tcPr>
          <w:p w14:paraId="04B158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200万元及以上</w:t>
            </w:r>
          </w:p>
        </w:tc>
        <w:tc>
          <w:tcPr>
            <w:tcW w:w="844" w:type="dxa"/>
            <w:noWrap w:val="0"/>
            <w:vAlign w:val="top"/>
          </w:tcPr>
          <w:p w14:paraId="4363AD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200万元以下</w:t>
            </w:r>
          </w:p>
          <w:p w14:paraId="4D207546">
            <w:pPr>
              <w:widowControl/>
              <w:jc w:val="center"/>
              <w:rPr>
                <w:rFonts w:hint="eastAsia" w:ascii="宋体" w:hAnsi="宋体" w:eastAsia="宋体" w:cs="宋体"/>
                <w:color w:val="auto"/>
                <w:sz w:val="24"/>
                <w:szCs w:val="24"/>
                <w:highlight w:val="none"/>
              </w:rPr>
            </w:pPr>
          </w:p>
        </w:tc>
        <w:tc>
          <w:tcPr>
            <w:tcW w:w="844" w:type="dxa"/>
            <w:noWrap w:val="0"/>
            <w:vAlign w:val="top"/>
          </w:tcPr>
          <w:p w14:paraId="1659E2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300人及以上</w:t>
            </w:r>
          </w:p>
          <w:p w14:paraId="6599E4BB">
            <w:pPr>
              <w:widowControl/>
              <w:jc w:val="center"/>
              <w:rPr>
                <w:rFonts w:hint="eastAsia" w:ascii="宋体" w:hAnsi="宋体" w:eastAsia="宋体" w:cs="宋体"/>
                <w:color w:val="auto"/>
                <w:sz w:val="24"/>
                <w:szCs w:val="24"/>
                <w:highlight w:val="none"/>
              </w:rPr>
            </w:pPr>
          </w:p>
        </w:tc>
        <w:tc>
          <w:tcPr>
            <w:tcW w:w="844" w:type="dxa"/>
            <w:noWrap w:val="0"/>
            <w:vAlign w:val="top"/>
          </w:tcPr>
          <w:p w14:paraId="1421EC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20人及以上</w:t>
            </w:r>
          </w:p>
          <w:p w14:paraId="1D3C48BB">
            <w:pPr>
              <w:widowControl/>
              <w:jc w:val="center"/>
              <w:rPr>
                <w:rFonts w:hint="eastAsia" w:ascii="宋体" w:hAnsi="宋体" w:eastAsia="宋体" w:cs="宋体"/>
                <w:color w:val="auto"/>
                <w:sz w:val="24"/>
                <w:szCs w:val="24"/>
                <w:highlight w:val="none"/>
              </w:rPr>
            </w:pPr>
          </w:p>
        </w:tc>
        <w:tc>
          <w:tcPr>
            <w:tcW w:w="741" w:type="dxa"/>
            <w:noWrap w:val="0"/>
            <w:vAlign w:val="top"/>
          </w:tcPr>
          <w:p w14:paraId="111F9F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20人以下</w:t>
            </w:r>
          </w:p>
          <w:p w14:paraId="11F0A568">
            <w:pPr>
              <w:widowControl/>
              <w:jc w:val="center"/>
              <w:rPr>
                <w:rFonts w:hint="eastAsia" w:ascii="宋体" w:hAnsi="宋体" w:eastAsia="宋体" w:cs="宋体"/>
                <w:color w:val="auto"/>
                <w:sz w:val="24"/>
                <w:szCs w:val="24"/>
                <w:highlight w:val="none"/>
              </w:rPr>
            </w:pPr>
          </w:p>
        </w:tc>
        <w:tc>
          <w:tcPr>
            <w:tcW w:w="844" w:type="dxa"/>
            <w:noWrap w:val="0"/>
            <w:vAlign w:val="top"/>
          </w:tcPr>
          <w:p w14:paraId="43D932C9">
            <w:pPr>
              <w:widowControl/>
              <w:jc w:val="center"/>
              <w:rPr>
                <w:rFonts w:hint="eastAsia" w:ascii="宋体" w:hAnsi="宋体" w:eastAsia="宋体" w:cs="宋体"/>
                <w:color w:val="auto"/>
                <w:sz w:val="24"/>
                <w:szCs w:val="24"/>
                <w:highlight w:val="none"/>
              </w:rPr>
            </w:pPr>
          </w:p>
        </w:tc>
        <w:tc>
          <w:tcPr>
            <w:tcW w:w="845" w:type="dxa"/>
            <w:noWrap w:val="0"/>
            <w:vAlign w:val="top"/>
          </w:tcPr>
          <w:p w14:paraId="08E035E3">
            <w:pPr>
              <w:widowControl/>
              <w:jc w:val="center"/>
              <w:rPr>
                <w:rFonts w:hint="eastAsia" w:ascii="宋体" w:hAnsi="宋体" w:eastAsia="宋体" w:cs="宋体"/>
                <w:color w:val="auto"/>
                <w:sz w:val="24"/>
                <w:szCs w:val="24"/>
                <w:highlight w:val="none"/>
              </w:rPr>
            </w:pPr>
          </w:p>
        </w:tc>
        <w:tc>
          <w:tcPr>
            <w:tcW w:w="845" w:type="dxa"/>
            <w:noWrap w:val="0"/>
            <w:vAlign w:val="top"/>
          </w:tcPr>
          <w:p w14:paraId="6A2624B7">
            <w:pPr>
              <w:widowControl/>
              <w:jc w:val="center"/>
              <w:rPr>
                <w:rFonts w:hint="eastAsia" w:ascii="宋体" w:hAnsi="宋体" w:eastAsia="宋体" w:cs="宋体"/>
                <w:color w:val="auto"/>
                <w:sz w:val="24"/>
                <w:szCs w:val="24"/>
                <w:highlight w:val="none"/>
              </w:rPr>
            </w:pPr>
          </w:p>
        </w:tc>
      </w:tr>
      <w:tr w14:paraId="2613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5EBC88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仓储业</w:t>
            </w:r>
          </w:p>
        </w:tc>
        <w:tc>
          <w:tcPr>
            <w:tcW w:w="1586" w:type="dxa"/>
            <w:noWrap w:val="0"/>
            <w:vAlign w:val="top"/>
          </w:tcPr>
          <w:p w14:paraId="7DD8F7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 200 人以下或营业收入 30000万元以下</w:t>
            </w:r>
          </w:p>
        </w:tc>
        <w:tc>
          <w:tcPr>
            <w:tcW w:w="844" w:type="dxa"/>
            <w:noWrap w:val="0"/>
            <w:vAlign w:val="top"/>
          </w:tcPr>
          <w:p w14:paraId="0EDBD1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1000万元及以上</w:t>
            </w:r>
          </w:p>
        </w:tc>
        <w:tc>
          <w:tcPr>
            <w:tcW w:w="844" w:type="dxa"/>
            <w:noWrap w:val="0"/>
            <w:vAlign w:val="top"/>
          </w:tcPr>
          <w:p w14:paraId="3537E0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4" w:type="dxa"/>
            <w:noWrap w:val="0"/>
            <w:vAlign w:val="top"/>
          </w:tcPr>
          <w:p w14:paraId="778718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p w14:paraId="248047FF">
            <w:pPr>
              <w:widowControl/>
              <w:jc w:val="center"/>
              <w:rPr>
                <w:rFonts w:hint="eastAsia" w:ascii="宋体" w:hAnsi="宋体" w:eastAsia="宋体" w:cs="宋体"/>
                <w:color w:val="auto"/>
                <w:sz w:val="24"/>
                <w:szCs w:val="24"/>
                <w:highlight w:val="none"/>
              </w:rPr>
            </w:pPr>
          </w:p>
        </w:tc>
        <w:tc>
          <w:tcPr>
            <w:tcW w:w="844" w:type="dxa"/>
            <w:noWrap w:val="0"/>
            <w:vAlign w:val="top"/>
          </w:tcPr>
          <w:p w14:paraId="360CAF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p w14:paraId="2E4079E8">
            <w:pPr>
              <w:widowControl/>
              <w:jc w:val="center"/>
              <w:rPr>
                <w:rFonts w:hint="eastAsia" w:ascii="宋体" w:hAnsi="宋体" w:eastAsia="宋体" w:cs="宋体"/>
                <w:color w:val="auto"/>
                <w:sz w:val="24"/>
                <w:szCs w:val="24"/>
                <w:highlight w:val="none"/>
              </w:rPr>
            </w:pPr>
          </w:p>
        </w:tc>
        <w:tc>
          <w:tcPr>
            <w:tcW w:w="844" w:type="dxa"/>
            <w:noWrap w:val="0"/>
            <w:vAlign w:val="top"/>
          </w:tcPr>
          <w:p w14:paraId="26EFF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20人及以上</w:t>
            </w:r>
          </w:p>
          <w:p w14:paraId="1F68CF48">
            <w:pPr>
              <w:widowControl/>
              <w:jc w:val="center"/>
              <w:rPr>
                <w:rFonts w:hint="eastAsia" w:ascii="宋体" w:hAnsi="宋体" w:eastAsia="宋体" w:cs="宋体"/>
                <w:color w:val="auto"/>
                <w:sz w:val="24"/>
                <w:szCs w:val="24"/>
                <w:highlight w:val="none"/>
              </w:rPr>
            </w:pPr>
          </w:p>
        </w:tc>
        <w:tc>
          <w:tcPr>
            <w:tcW w:w="741" w:type="dxa"/>
            <w:noWrap w:val="0"/>
            <w:vAlign w:val="top"/>
          </w:tcPr>
          <w:p w14:paraId="3C4808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20人以下</w:t>
            </w:r>
          </w:p>
          <w:p w14:paraId="10326329">
            <w:pPr>
              <w:widowControl/>
              <w:jc w:val="center"/>
              <w:rPr>
                <w:rFonts w:hint="eastAsia" w:ascii="宋体" w:hAnsi="宋体" w:eastAsia="宋体" w:cs="宋体"/>
                <w:color w:val="auto"/>
                <w:sz w:val="24"/>
                <w:szCs w:val="24"/>
                <w:highlight w:val="none"/>
              </w:rPr>
            </w:pPr>
          </w:p>
        </w:tc>
        <w:tc>
          <w:tcPr>
            <w:tcW w:w="844" w:type="dxa"/>
            <w:noWrap w:val="0"/>
            <w:vAlign w:val="top"/>
          </w:tcPr>
          <w:p w14:paraId="49F39D97">
            <w:pPr>
              <w:widowControl/>
              <w:jc w:val="center"/>
              <w:rPr>
                <w:rFonts w:hint="eastAsia" w:ascii="宋体" w:hAnsi="宋体" w:eastAsia="宋体" w:cs="宋体"/>
                <w:color w:val="auto"/>
                <w:sz w:val="24"/>
                <w:szCs w:val="24"/>
                <w:highlight w:val="none"/>
              </w:rPr>
            </w:pPr>
          </w:p>
        </w:tc>
        <w:tc>
          <w:tcPr>
            <w:tcW w:w="845" w:type="dxa"/>
            <w:noWrap w:val="0"/>
            <w:vAlign w:val="top"/>
          </w:tcPr>
          <w:p w14:paraId="38BCCBA2">
            <w:pPr>
              <w:widowControl/>
              <w:jc w:val="center"/>
              <w:rPr>
                <w:rFonts w:hint="eastAsia" w:ascii="宋体" w:hAnsi="宋体" w:eastAsia="宋体" w:cs="宋体"/>
                <w:color w:val="auto"/>
                <w:sz w:val="24"/>
                <w:szCs w:val="24"/>
                <w:highlight w:val="none"/>
              </w:rPr>
            </w:pPr>
          </w:p>
        </w:tc>
        <w:tc>
          <w:tcPr>
            <w:tcW w:w="845" w:type="dxa"/>
            <w:noWrap w:val="0"/>
            <w:vAlign w:val="top"/>
          </w:tcPr>
          <w:p w14:paraId="2AA9AC28">
            <w:pPr>
              <w:widowControl/>
              <w:jc w:val="center"/>
              <w:rPr>
                <w:rFonts w:hint="eastAsia" w:ascii="宋体" w:hAnsi="宋体" w:eastAsia="宋体" w:cs="宋体"/>
                <w:color w:val="auto"/>
                <w:sz w:val="24"/>
                <w:szCs w:val="24"/>
                <w:highlight w:val="none"/>
              </w:rPr>
            </w:pPr>
          </w:p>
        </w:tc>
      </w:tr>
      <w:tr w14:paraId="3111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959DA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邮政业</w:t>
            </w:r>
          </w:p>
        </w:tc>
        <w:tc>
          <w:tcPr>
            <w:tcW w:w="1586" w:type="dxa"/>
            <w:noWrap w:val="0"/>
            <w:vAlign w:val="top"/>
          </w:tcPr>
          <w:p w14:paraId="59848B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 1000人以下或营业收入30000 万元以下</w:t>
            </w:r>
          </w:p>
        </w:tc>
        <w:tc>
          <w:tcPr>
            <w:tcW w:w="844" w:type="dxa"/>
            <w:noWrap w:val="0"/>
            <w:vAlign w:val="top"/>
          </w:tcPr>
          <w:p w14:paraId="695B25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2000万元及以上</w:t>
            </w:r>
          </w:p>
        </w:tc>
        <w:tc>
          <w:tcPr>
            <w:tcW w:w="844" w:type="dxa"/>
            <w:noWrap w:val="0"/>
            <w:vAlign w:val="top"/>
          </w:tcPr>
          <w:p w14:paraId="2E32EB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4" w:type="dxa"/>
            <w:noWrap w:val="0"/>
            <w:vAlign w:val="top"/>
          </w:tcPr>
          <w:p w14:paraId="55D035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p w14:paraId="56C7A8CE">
            <w:pPr>
              <w:widowControl/>
              <w:jc w:val="center"/>
              <w:rPr>
                <w:rFonts w:hint="eastAsia" w:ascii="宋体" w:hAnsi="宋体" w:eastAsia="宋体" w:cs="宋体"/>
                <w:color w:val="auto"/>
                <w:sz w:val="24"/>
                <w:szCs w:val="24"/>
                <w:highlight w:val="none"/>
              </w:rPr>
            </w:pPr>
          </w:p>
        </w:tc>
        <w:tc>
          <w:tcPr>
            <w:tcW w:w="844" w:type="dxa"/>
            <w:noWrap w:val="0"/>
            <w:vAlign w:val="top"/>
          </w:tcPr>
          <w:p w14:paraId="00DC1F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300人及以上</w:t>
            </w:r>
          </w:p>
          <w:p w14:paraId="4CE1CBBD">
            <w:pPr>
              <w:widowControl/>
              <w:jc w:val="center"/>
              <w:rPr>
                <w:rFonts w:hint="eastAsia" w:ascii="宋体" w:hAnsi="宋体" w:eastAsia="宋体" w:cs="宋体"/>
                <w:color w:val="auto"/>
                <w:sz w:val="24"/>
                <w:szCs w:val="24"/>
                <w:highlight w:val="none"/>
              </w:rPr>
            </w:pPr>
          </w:p>
        </w:tc>
        <w:tc>
          <w:tcPr>
            <w:tcW w:w="844" w:type="dxa"/>
            <w:noWrap w:val="0"/>
            <w:vAlign w:val="top"/>
          </w:tcPr>
          <w:p w14:paraId="729CA1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20人及以上</w:t>
            </w:r>
          </w:p>
          <w:p w14:paraId="0F5C28A7">
            <w:pPr>
              <w:widowControl/>
              <w:jc w:val="center"/>
              <w:rPr>
                <w:rFonts w:hint="eastAsia" w:ascii="宋体" w:hAnsi="宋体" w:eastAsia="宋体" w:cs="宋体"/>
                <w:color w:val="auto"/>
                <w:sz w:val="24"/>
                <w:szCs w:val="24"/>
                <w:highlight w:val="none"/>
              </w:rPr>
            </w:pPr>
          </w:p>
        </w:tc>
        <w:tc>
          <w:tcPr>
            <w:tcW w:w="741" w:type="dxa"/>
            <w:noWrap w:val="0"/>
            <w:vAlign w:val="top"/>
          </w:tcPr>
          <w:p w14:paraId="667ABA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20人以下</w:t>
            </w:r>
          </w:p>
          <w:p w14:paraId="5B9B5975">
            <w:pPr>
              <w:widowControl/>
              <w:jc w:val="center"/>
              <w:rPr>
                <w:rFonts w:hint="eastAsia" w:ascii="宋体" w:hAnsi="宋体" w:eastAsia="宋体" w:cs="宋体"/>
                <w:color w:val="auto"/>
                <w:sz w:val="24"/>
                <w:szCs w:val="24"/>
                <w:highlight w:val="none"/>
              </w:rPr>
            </w:pPr>
          </w:p>
        </w:tc>
        <w:tc>
          <w:tcPr>
            <w:tcW w:w="844" w:type="dxa"/>
            <w:noWrap w:val="0"/>
            <w:vAlign w:val="top"/>
          </w:tcPr>
          <w:p w14:paraId="43660737">
            <w:pPr>
              <w:widowControl/>
              <w:jc w:val="center"/>
              <w:rPr>
                <w:rFonts w:hint="eastAsia" w:ascii="宋体" w:hAnsi="宋体" w:eastAsia="宋体" w:cs="宋体"/>
                <w:color w:val="auto"/>
                <w:sz w:val="24"/>
                <w:szCs w:val="24"/>
                <w:highlight w:val="none"/>
              </w:rPr>
            </w:pPr>
          </w:p>
        </w:tc>
        <w:tc>
          <w:tcPr>
            <w:tcW w:w="845" w:type="dxa"/>
            <w:noWrap w:val="0"/>
            <w:vAlign w:val="top"/>
          </w:tcPr>
          <w:p w14:paraId="505E3ABF">
            <w:pPr>
              <w:widowControl/>
              <w:jc w:val="center"/>
              <w:rPr>
                <w:rFonts w:hint="eastAsia" w:ascii="宋体" w:hAnsi="宋体" w:eastAsia="宋体" w:cs="宋体"/>
                <w:color w:val="auto"/>
                <w:sz w:val="24"/>
                <w:szCs w:val="24"/>
                <w:highlight w:val="none"/>
              </w:rPr>
            </w:pPr>
          </w:p>
        </w:tc>
        <w:tc>
          <w:tcPr>
            <w:tcW w:w="845" w:type="dxa"/>
            <w:noWrap w:val="0"/>
            <w:vAlign w:val="top"/>
          </w:tcPr>
          <w:p w14:paraId="1E542BF4">
            <w:pPr>
              <w:widowControl/>
              <w:jc w:val="center"/>
              <w:rPr>
                <w:rFonts w:hint="eastAsia" w:ascii="宋体" w:hAnsi="宋体" w:eastAsia="宋体" w:cs="宋体"/>
                <w:color w:val="auto"/>
                <w:sz w:val="24"/>
                <w:szCs w:val="24"/>
                <w:highlight w:val="none"/>
              </w:rPr>
            </w:pPr>
          </w:p>
        </w:tc>
      </w:tr>
      <w:tr w14:paraId="6293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1FCDE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住宿业</w:t>
            </w:r>
          </w:p>
        </w:tc>
        <w:tc>
          <w:tcPr>
            <w:tcW w:w="1586" w:type="dxa"/>
            <w:noWrap w:val="0"/>
            <w:vAlign w:val="top"/>
          </w:tcPr>
          <w:p w14:paraId="6D7F26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人员300人以下或营业收入10000万元以下</w:t>
            </w:r>
          </w:p>
        </w:tc>
        <w:tc>
          <w:tcPr>
            <w:tcW w:w="844" w:type="dxa"/>
            <w:noWrap w:val="0"/>
            <w:vAlign w:val="top"/>
          </w:tcPr>
          <w:p w14:paraId="5E3DE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2000万元及以上</w:t>
            </w:r>
          </w:p>
        </w:tc>
        <w:tc>
          <w:tcPr>
            <w:tcW w:w="844" w:type="dxa"/>
            <w:noWrap w:val="0"/>
            <w:vAlign w:val="top"/>
          </w:tcPr>
          <w:p w14:paraId="035A32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4" w:type="dxa"/>
            <w:noWrap w:val="0"/>
            <w:vAlign w:val="top"/>
          </w:tcPr>
          <w:p w14:paraId="57C40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p w14:paraId="0E072DD1">
            <w:pPr>
              <w:widowControl/>
              <w:jc w:val="center"/>
              <w:rPr>
                <w:rFonts w:hint="eastAsia" w:ascii="宋体" w:hAnsi="宋体" w:eastAsia="宋体" w:cs="宋体"/>
                <w:color w:val="auto"/>
                <w:sz w:val="24"/>
                <w:szCs w:val="24"/>
                <w:highlight w:val="none"/>
              </w:rPr>
            </w:pPr>
          </w:p>
        </w:tc>
        <w:tc>
          <w:tcPr>
            <w:tcW w:w="844" w:type="dxa"/>
            <w:noWrap w:val="0"/>
            <w:vAlign w:val="top"/>
          </w:tcPr>
          <w:p w14:paraId="21C7BA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p w14:paraId="7A4A4314">
            <w:pPr>
              <w:widowControl/>
              <w:jc w:val="center"/>
              <w:rPr>
                <w:rFonts w:hint="eastAsia" w:ascii="宋体" w:hAnsi="宋体" w:eastAsia="宋体" w:cs="宋体"/>
                <w:color w:val="auto"/>
                <w:sz w:val="24"/>
                <w:szCs w:val="24"/>
                <w:highlight w:val="none"/>
              </w:rPr>
            </w:pPr>
          </w:p>
        </w:tc>
        <w:tc>
          <w:tcPr>
            <w:tcW w:w="844" w:type="dxa"/>
            <w:noWrap w:val="0"/>
            <w:vAlign w:val="top"/>
          </w:tcPr>
          <w:p w14:paraId="66349C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10人及以上</w:t>
            </w:r>
          </w:p>
          <w:p w14:paraId="76C77AB8">
            <w:pPr>
              <w:widowControl/>
              <w:jc w:val="center"/>
              <w:rPr>
                <w:rFonts w:hint="eastAsia" w:ascii="宋体" w:hAnsi="宋体" w:eastAsia="宋体" w:cs="宋体"/>
                <w:color w:val="auto"/>
                <w:sz w:val="24"/>
                <w:szCs w:val="24"/>
                <w:highlight w:val="none"/>
              </w:rPr>
            </w:pPr>
          </w:p>
        </w:tc>
        <w:tc>
          <w:tcPr>
            <w:tcW w:w="741" w:type="dxa"/>
            <w:noWrap w:val="0"/>
            <w:vAlign w:val="top"/>
          </w:tcPr>
          <w:p w14:paraId="74369B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10人以下</w:t>
            </w:r>
          </w:p>
          <w:p w14:paraId="58075641">
            <w:pPr>
              <w:widowControl/>
              <w:jc w:val="center"/>
              <w:rPr>
                <w:rFonts w:hint="eastAsia" w:ascii="宋体" w:hAnsi="宋体" w:eastAsia="宋体" w:cs="宋体"/>
                <w:color w:val="auto"/>
                <w:sz w:val="24"/>
                <w:szCs w:val="24"/>
                <w:highlight w:val="none"/>
              </w:rPr>
            </w:pPr>
          </w:p>
        </w:tc>
        <w:tc>
          <w:tcPr>
            <w:tcW w:w="844" w:type="dxa"/>
            <w:noWrap w:val="0"/>
            <w:vAlign w:val="top"/>
          </w:tcPr>
          <w:p w14:paraId="23234CB8">
            <w:pPr>
              <w:widowControl/>
              <w:jc w:val="center"/>
              <w:rPr>
                <w:rFonts w:hint="eastAsia" w:ascii="宋体" w:hAnsi="宋体" w:eastAsia="宋体" w:cs="宋体"/>
                <w:color w:val="auto"/>
                <w:sz w:val="24"/>
                <w:szCs w:val="24"/>
                <w:highlight w:val="none"/>
              </w:rPr>
            </w:pPr>
          </w:p>
        </w:tc>
        <w:tc>
          <w:tcPr>
            <w:tcW w:w="845" w:type="dxa"/>
            <w:noWrap w:val="0"/>
            <w:vAlign w:val="top"/>
          </w:tcPr>
          <w:p w14:paraId="06666062">
            <w:pPr>
              <w:widowControl/>
              <w:jc w:val="center"/>
              <w:rPr>
                <w:rFonts w:hint="eastAsia" w:ascii="宋体" w:hAnsi="宋体" w:eastAsia="宋体" w:cs="宋体"/>
                <w:color w:val="auto"/>
                <w:sz w:val="24"/>
                <w:szCs w:val="24"/>
                <w:highlight w:val="none"/>
              </w:rPr>
            </w:pPr>
          </w:p>
        </w:tc>
        <w:tc>
          <w:tcPr>
            <w:tcW w:w="845" w:type="dxa"/>
            <w:noWrap w:val="0"/>
            <w:vAlign w:val="top"/>
          </w:tcPr>
          <w:p w14:paraId="28E80F25">
            <w:pPr>
              <w:widowControl/>
              <w:jc w:val="center"/>
              <w:rPr>
                <w:rFonts w:hint="eastAsia" w:ascii="宋体" w:hAnsi="宋体" w:eastAsia="宋体" w:cs="宋体"/>
                <w:color w:val="auto"/>
                <w:sz w:val="24"/>
                <w:szCs w:val="24"/>
                <w:highlight w:val="none"/>
              </w:rPr>
            </w:pPr>
          </w:p>
        </w:tc>
      </w:tr>
      <w:tr w14:paraId="03CF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08EFE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餐饮业</w:t>
            </w:r>
          </w:p>
        </w:tc>
        <w:tc>
          <w:tcPr>
            <w:tcW w:w="1586" w:type="dxa"/>
            <w:noWrap w:val="0"/>
            <w:vAlign w:val="top"/>
          </w:tcPr>
          <w:p w14:paraId="1F19FF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人员300人以下或营业收入10000万元以下</w:t>
            </w:r>
          </w:p>
        </w:tc>
        <w:tc>
          <w:tcPr>
            <w:tcW w:w="844" w:type="dxa"/>
            <w:noWrap w:val="0"/>
            <w:vAlign w:val="top"/>
          </w:tcPr>
          <w:p w14:paraId="1741AA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2000万元及以上</w:t>
            </w:r>
          </w:p>
        </w:tc>
        <w:tc>
          <w:tcPr>
            <w:tcW w:w="844" w:type="dxa"/>
            <w:noWrap w:val="0"/>
            <w:vAlign w:val="top"/>
          </w:tcPr>
          <w:p w14:paraId="119A87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4" w:type="dxa"/>
            <w:noWrap w:val="0"/>
            <w:vAlign w:val="top"/>
          </w:tcPr>
          <w:p w14:paraId="306B79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p w14:paraId="27388BFB">
            <w:pPr>
              <w:widowControl/>
              <w:jc w:val="center"/>
              <w:rPr>
                <w:rFonts w:hint="eastAsia" w:ascii="宋体" w:hAnsi="宋体" w:eastAsia="宋体" w:cs="宋体"/>
                <w:color w:val="auto"/>
                <w:sz w:val="24"/>
                <w:szCs w:val="24"/>
                <w:highlight w:val="none"/>
              </w:rPr>
            </w:pPr>
          </w:p>
        </w:tc>
        <w:tc>
          <w:tcPr>
            <w:tcW w:w="844" w:type="dxa"/>
            <w:noWrap w:val="0"/>
            <w:vAlign w:val="top"/>
          </w:tcPr>
          <w:p w14:paraId="6E6EC4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p w14:paraId="1874678B">
            <w:pPr>
              <w:widowControl/>
              <w:jc w:val="center"/>
              <w:rPr>
                <w:rFonts w:hint="eastAsia" w:ascii="宋体" w:hAnsi="宋体" w:eastAsia="宋体" w:cs="宋体"/>
                <w:color w:val="auto"/>
                <w:sz w:val="24"/>
                <w:szCs w:val="24"/>
                <w:highlight w:val="none"/>
              </w:rPr>
            </w:pPr>
          </w:p>
        </w:tc>
        <w:tc>
          <w:tcPr>
            <w:tcW w:w="844" w:type="dxa"/>
            <w:noWrap w:val="0"/>
            <w:vAlign w:val="top"/>
          </w:tcPr>
          <w:p w14:paraId="582F1083">
            <w:pPr>
              <w:widowControl/>
              <w:jc w:val="center"/>
              <w:rPr>
                <w:rFonts w:hint="eastAsia" w:ascii="宋体" w:hAnsi="宋体" w:eastAsia="宋体" w:cs="宋体"/>
                <w:color w:val="auto"/>
                <w:sz w:val="24"/>
                <w:szCs w:val="24"/>
                <w:highlight w:val="none"/>
              </w:rPr>
            </w:pPr>
          </w:p>
        </w:tc>
        <w:tc>
          <w:tcPr>
            <w:tcW w:w="741" w:type="dxa"/>
            <w:noWrap w:val="0"/>
            <w:vAlign w:val="top"/>
          </w:tcPr>
          <w:p w14:paraId="7D043758">
            <w:pPr>
              <w:widowControl/>
              <w:jc w:val="center"/>
              <w:rPr>
                <w:rFonts w:hint="eastAsia" w:ascii="宋体" w:hAnsi="宋体" w:eastAsia="宋体" w:cs="宋体"/>
                <w:color w:val="auto"/>
                <w:sz w:val="24"/>
                <w:szCs w:val="24"/>
                <w:highlight w:val="none"/>
              </w:rPr>
            </w:pPr>
          </w:p>
        </w:tc>
        <w:tc>
          <w:tcPr>
            <w:tcW w:w="844" w:type="dxa"/>
            <w:noWrap w:val="0"/>
            <w:vAlign w:val="top"/>
          </w:tcPr>
          <w:p w14:paraId="120026AE">
            <w:pPr>
              <w:widowControl/>
              <w:jc w:val="center"/>
              <w:rPr>
                <w:rFonts w:hint="eastAsia" w:ascii="宋体" w:hAnsi="宋体" w:eastAsia="宋体" w:cs="宋体"/>
                <w:color w:val="auto"/>
                <w:sz w:val="24"/>
                <w:szCs w:val="24"/>
                <w:highlight w:val="none"/>
              </w:rPr>
            </w:pPr>
          </w:p>
        </w:tc>
        <w:tc>
          <w:tcPr>
            <w:tcW w:w="845" w:type="dxa"/>
            <w:noWrap w:val="0"/>
            <w:vAlign w:val="top"/>
          </w:tcPr>
          <w:p w14:paraId="2056B757">
            <w:pPr>
              <w:widowControl/>
              <w:jc w:val="center"/>
              <w:rPr>
                <w:rFonts w:hint="eastAsia" w:ascii="宋体" w:hAnsi="宋体" w:eastAsia="宋体" w:cs="宋体"/>
                <w:color w:val="auto"/>
                <w:sz w:val="24"/>
                <w:szCs w:val="24"/>
                <w:highlight w:val="none"/>
              </w:rPr>
            </w:pPr>
          </w:p>
        </w:tc>
        <w:tc>
          <w:tcPr>
            <w:tcW w:w="845" w:type="dxa"/>
            <w:noWrap w:val="0"/>
            <w:vAlign w:val="top"/>
          </w:tcPr>
          <w:p w14:paraId="3B0F4A08">
            <w:pPr>
              <w:widowControl/>
              <w:jc w:val="center"/>
              <w:rPr>
                <w:rFonts w:hint="eastAsia" w:ascii="宋体" w:hAnsi="宋体" w:eastAsia="宋体" w:cs="宋体"/>
                <w:color w:val="auto"/>
                <w:sz w:val="24"/>
                <w:szCs w:val="24"/>
                <w:highlight w:val="none"/>
              </w:rPr>
            </w:pPr>
          </w:p>
        </w:tc>
      </w:tr>
      <w:tr w14:paraId="7862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2ED27D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信息传</w:t>
            </w:r>
          </w:p>
          <w:p w14:paraId="00447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输业</w:t>
            </w:r>
          </w:p>
        </w:tc>
        <w:tc>
          <w:tcPr>
            <w:tcW w:w="1586" w:type="dxa"/>
            <w:noWrap w:val="0"/>
            <w:vAlign w:val="top"/>
          </w:tcPr>
          <w:p w14:paraId="1168D0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人员2000人以下或营业收入100000万元以下</w:t>
            </w:r>
          </w:p>
        </w:tc>
        <w:tc>
          <w:tcPr>
            <w:tcW w:w="844" w:type="dxa"/>
            <w:noWrap w:val="0"/>
            <w:vAlign w:val="top"/>
          </w:tcPr>
          <w:p w14:paraId="06AAE6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1000万元及以上</w:t>
            </w:r>
          </w:p>
        </w:tc>
        <w:tc>
          <w:tcPr>
            <w:tcW w:w="844" w:type="dxa"/>
            <w:noWrap w:val="0"/>
            <w:vAlign w:val="top"/>
          </w:tcPr>
          <w:p w14:paraId="4E7C69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4" w:type="dxa"/>
            <w:noWrap w:val="0"/>
            <w:vAlign w:val="top"/>
          </w:tcPr>
          <w:p w14:paraId="5C213C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p w14:paraId="7AB21EC7">
            <w:pPr>
              <w:widowControl/>
              <w:jc w:val="center"/>
              <w:rPr>
                <w:rFonts w:hint="eastAsia" w:ascii="宋体" w:hAnsi="宋体" w:eastAsia="宋体" w:cs="宋体"/>
                <w:color w:val="auto"/>
                <w:sz w:val="24"/>
                <w:szCs w:val="24"/>
                <w:highlight w:val="none"/>
              </w:rPr>
            </w:pPr>
          </w:p>
        </w:tc>
        <w:tc>
          <w:tcPr>
            <w:tcW w:w="844" w:type="dxa"/>
            <w:noWrap w:val="0"/>
            <w:vAlign w:val="top"/>
          </w:tcPr>
          <w:p w14:paraId="0BE189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p w14:paraId="12BDCE32">
            <w:pPr>
              <w:widowControl/>
              <w:jc w:val="center"/>
              <w:rPr>
                <w:rFonts w:hint="eastAsia" w:ascii="宋体" w:hAnsi="宋体" w:eastAsia="宋体" w:cs="宋体"/>
                <w:color w:val="auto"/>
                <w:sz w:val="24"/>
                <w:szCs w:val="24"/>
                <w:highlight w:val="none"/>
              </w:rPr>
            </w:pPr>
          </w:p>
        </w:tc>
        <w:tc>
          <w:tcPr>
            <w:tcW w:w="844" w:type="dxa"/>
            <w:noWrap w:val="0"/>
            <w:vAlign w:val="top"/>
          </w:tcPr>
          <w:p w14:paraId="4BD2FB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10人及以上</w:t>
            </w:r>
          </w:p>
          <w:p w14:paraId="738B1BB9">
            <w:pPr>
              <w:widowControl/>
              <w:jc w:val="center"/>
              <w:rPr>
                <w:rFonts w:hint="eastAsia" w:ascii="宋体" w:hAnsi="宋体" w:eastAsia="宋体" w:cs="宋体"/>
                <w:color w:val="auto"/>
                <w:sz w:val="24"/>
                <w:szCs w:val="24"/>
                <w:highlight w:val="none"/>
              </w:rPr>
            </w:pPr>
          </w:p>
        </w:tc>
        <w:tc>
          <w:tcPr>
            <w:tcW w:w="741" w:type="dxa"/>
            <w:noWrap w:val="0"/>
            <w:vAlign w:val="top"/>
          </w:tcPr>
          <w:p w14:paraId="7498D9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10人以下</w:t>
            </w:r>
          </w:p>
          <w:p w14:paraId="14D6417B">
            <w:pPr>
              <w:widowControl/>
              <w:jc w:val="center"/>
              <w:rPr>
                <w:rFonts w:hint="eastAsia" w:ascii="宋体" w:hAnsi="宋体" w:eastAsia="宋体" w:cs="宋体"/>
                <w:color w:val="auto"/>
                <w:sz w:val="24"/>
                <w:szCs w:val="24"/>
                <w:highlight w:val="none"/>
              </w:rPr>
            </w:pPr>
          </w:p>
        </w:tc>
        <w:tc>
          <w:tcPr>
            <w:tcW w:w="844" w:type="dxa"/>
            <w:noWrap w:val="0"/>
            <w:vAlign w:val="top"/>
          </w:tcPr>
          <w:p w14:paraId="5C043785">
            <w:pPr>
              <w:widowControl/>
              <w:jc w:val="center"/>
              <w:rPr>
                <w:rFonts w:hint="eastAsia" w:ascii="宋体" w:hAnsi="宋体" w:eastAsia="宋体" w:cs="宋体"/>
                <w:color w:val="auto"/>
                <w:sz w:val="24"/>
                <w:szCs w:val="24"/>
                <w:highlight w:val="none"/>
              </w:rPr>
            </w:pPr>
          </w:p>
        </w:tc>
        <w:tc>
          <w:tcPr>
            <w:tcW w:w="845" w:type="dxa"/>
            <w:noWrap w:val="0"/>
            <w:vAlign w:val="top"/>
          </w:tcPr>
          <w:p w14:paraId="00ABB7C5">
            <w:pPr>
              <w:widowControl/>
              <w:jc w:val="center"/>
              <w:rPr>
                <w:rFonts w:hint="eastAsia" w:ascii="宋体" w:hAnsi="宋体" w:eastAsia="宋体" w:cs="宋体"/>
                <w:color w:val="auto"/>
                <w:sz w:val="24"/>
                <w:szCs w:val="24"/>
                <w:highlight w:val="none"/>
              </w:rPr>
            </w:pPr>
          </w:p>
        </w:tc>
        <w:tc>
          <w:tcPr>
            <w:tcW w:w="845" w:type="dxa"/>
            <w:noWrap w:val="0"/>
            <w:vAlign w:val="top"/>
          </w:tcPr>
          <w:p w14:paraId="09B2FEDF">
            <w:pPr>
              <w:widowControl/>
              <w:jc w:val="center"/>
              <w:rPr>
                <w:rFonts w:hint="eastAsia" w:ascii="宋体" w:hAnsi="宋体" w:eastAsia="宋体" w:cs="宋体"/>
                <w:color w:val="auto"/>
                <w:sz w:val="24"/>
                <w:szCs w:val="24"/>
                <w:highlight w:val="none"/>
              </w:rPr>
            </w:pPr>
          </w:p>
        </w:tc>
      </w:tr>
      <w:tr w14:paraId="62AF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53D8EA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软件和信息技术服务业</w:t>
            </w:r>
          </w:p>
        </w:tc>
        <w:tc>
          <w:tcPr>
            <w:tcW w:w="1586" w:type="dxa"/>
            <w:noWrap w:val="0"/>
            <w:vAlign w:val="top"/>
          </w:tcPr>
          <w:p w14:paraId="497FF6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300人以下或营业收入10000万元以下</w:t>
            </w:r>
          </w:p>
        </w:tc>
        <w:tc>
          <w:tcPr>
            <w:tcW w:w="844" w:type="dxa"/>
            <w:noWrap w:val="0"/>
            <w:vAlign w:val="top"/>
          </w:tcPr>
          <w:p w14:paraId="4DB6F1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1000万元及以上</w:t>
            </w:r>
          </w:p>
        </w:tc>
        <w:tc>
          <w:tcPr>
            <w:tcW w:w="844" w:type="dxa"/>
            <w:noWrap w:val="0"/>
            <w:vAlign w:val="top"/>
          </w:tcPr>
          <w:p w14:paraId="4F5664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50万元及以上</w:t>
            </w:r>
          </w:p>
        </w:tc>
        <w:tc>
          <w:tcPr>
            <w:tcW w:w="844" w:type="dxa"/>
            <w:noWrap w:val="0"/>
            <w:vAlign w:val="top"/>
          </w:tcPr>
          <w:p w14:paraId="3E93E9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50万元以下</w:t>
            </w:r>
          </w:p>
        </w:tc>
        <w:tc>
          <w:tcPr>
            <w:tcW w:w="844" w:type="dxa"/>
            <w:noWrap w:val="0"/>
            <w:vAlign w:val="top"/>
          </w:tcPr>
          <w:p w14:paraId="698BD1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从业人员100人及以上</w:t>
            </w:r>
          </w:p>
        </w:tc>
        <w:tc>
          <w:tcPr>
            <w:tcW w:w="844" w:type="dxa"/>
            <w:noWrap w:val="0"/>
            <w:vAlign w:val="top"/>
          </w:tcPr>
          <w:p w14:paraId="45D5EA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从业人员10人及以上</w:t>
            </w:r>
          </w:p>
        </w:tc>
        <w:tc>
          <w:tcPr>
            <w:tcW w:w="741" w:type="dxa"/>
            <w:noWrap w:val="0"/>
            <w:vAlign w:val="top"/>
          </w:tcPr>
          <w:p w14:paraId="03B4EA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从业人员10人以下</w:t>
            </w:r>
          </w:p>
        </w:tc>
        <w:tc>
          <w:tcPr>
            <w:tcW w:w="844" w:type="dxa"/>
            <w:noWrap w:val="0"/>
            <w:vAlign w:val="top"/>
          </w:tcPr>
          <w:p w14:paraId="241B9068">
            <w:pPr>
              <w:widowControl/>
              <w:jc w:val="center"/>
              <w:rPr>
                <w:rFonts w:hint="eastAsia" w:ascii="宋体" w:hAnsi="宋体" w:eastAsia="宋体" w:cs="宋体"/>
                <w:color w:val="auto"/>
                <w:sz w:val="24"/>
                <w:szCs w:val="24"/>
                <w:highlight w:val="none"/>
              </w:rPr>
            </w:pPr>
          </w:p>
        </w:tc>
        <w:tc>
          <w:tcPr>
            <w:tcW w:w="845" w:type="dxa"/>
            <w:noWrap w:val="0"/>
            <w:vAlign w:val="top"/>
          </w:tcPr>
          <w:p w14:paraId="3FF7D16F">
            <w:pPr>
              <w:widowControl/>
              <w:jc w:val="center"/>
              <w:rPr>
                <w:rFonts w:hint="eastAsia" w:ascii="宋体" w:hAnsi="宋体" w:eastAsia="宋体" w:cs="宋体"/>
                <w:color w:val="auto"/>
                <w:sz w:val="24"/>
                <w:szCs w:val="24"/>
                <w:highlight w:val="none"/>
              </w:rPr>
            </w:pPr>
          </w:p>
        </w:tc>
        <w:tc>
          <w:tcPr>
            <w:tcW w:w="845" w:type="dxa"/>
            <w:noWrap w:val="0"/>
            <w:vAlign w:val="top"/>
          </w:tcPr>
          <w:p w14:paraId="0AFB10A1">
            <w:pPr>
              <w:widowControl/>
              <w:jc w:val="center"/>
              <w:rPr>
                <w:rFonts w:hint="eastAsia" w:ascii="宋体" w:hAnsi="宋体" w:eastAsia="宋体" w:cs="宋体"/>
                <w:color w:val="auto"/>
                <w:sz w:val="24"/>
                <w:szCs w:val="24"/>
                <w:highlight w:val="none"/>
              </w:rPr>
            </w:pPr>
          </w:p>
        </w:tc>
      </w:tr>
      <w:tr w14:paraId="4984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138A2C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房地产开发经营</w:t>
            </w:r>
          </w:p>
        </w:tc>
        <w:tc>
          <w:tcPr>
            <w:tcW w:w="1586" w:type="dxa"/>
            <w:noWrap w:val="0"/>
            <w:vAlign w:val="top"/>
          </w:tcPr>
          <w:p w14:paraId="061819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收入200000万元以下或资产总额10000万元以下</w:t>
            </w:r>
          </w:p>
        </w:tc>
        <w:tc>
          <w:tcPr>
            <w:tcW w:w="844" w:type="dxa"/>
            <w:noWrap w:val="0"/>
            <w:vAlign w:val="top"/>
          </w:tcPr>
          <w:p w14:paraId="5506FF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1000万元及以上</w:t>
            </w:r>
          </w:p>
          <w:p w14:paraId="1F575FFC">
            <w:pPr>
              <w:widowControl/>
              <w:jc w:val="center"/>
              <w:rPr>
                <w:rFonts w:hint="eastAsia" w:ascii="宋体" w:hAnsi="宋体" w:eastAsia="宋体" w:cs="宋体"/>
                <w:color w:val="auto"/>
                <w:sz w:val="24"/>
                <w:szCs w:val="24"/>
                <w:highlight w:val="none"/>
              </w:rPr>
            </w:pPr>
          </w:p>
        </w:tc>
        <w:tc>
          <w:tcPr>
            <w:tcW w:w="844" w:type="dxa"/>
            <w:noWrap w:val="0"/>
            <w:vAlign w:val="top"/>
          </w:tcPr>
          <w:p w14:paraId="65C765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p w14:paraId="2C1F4509">
            <w:pPr>
              <w:widowControl/>
              <w:jc w:val="center"/>
              <w:rPr>
                <w:rFonts w:hint="eastAsia" w:ascii="宋体" w:hAnsi="宋体" w:eastAsia="宋体" w:cs="宋体"/>
                <w:color w:val="auto"/>
                <w:sz w:val="24"/>
                <w:szCs w:val="24"/>
                <w:highlight w:val="none"/>
              </w:rPr>
            </w:pPr>
          </w:p>
        </w:tc>
        <w:tc>
          <w:tcPr>
            <w:tcW w:w="844" w:type="dxa"/>
            <w:noWrap w:val="0"/>
            <w:vAlign w:val="top"/>
          </w:tcPr>
          <w:p w14:paraId="212FD2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p w14:paraId="4E6BE983">
            <w:pPr>
              <w:widowControl/>
              <w:jc w:val="center"/>
              <w:rPr>
                <w:rFonts w:hint="eastAsia" w:ascii="宋体" w:hAnsi="宋体" w:eastAsia="宋体" w:cs="宋体"/>
                <w:color w:val="auto"/>
                <w:sz w:val="24"/>
                <w:szCs w:val="24"/>
                <w:highlight w:val="none"/>
              </w:rPr>
            </w:pPr>
          </w:p>
        </w:tc>
        <w:tc>
          <w:tcPr>
            <w:tcW w:w="844" w:type="dxa"/>
            <w:noWrap w:val="0"/>
            <w:vAlign w:val="top"/>
          </w:tcPr>
          <w:p w14:paraId="5E7F6805">
            <w:pPr>
              <w:widowControl/>
              <w:jc w:val="center"/>
              <w:rPr>
                <w:rFonts w:hint="eastAsia" w:ascii="宋体" w:hAnsi="宋体" w:eastAsia="宋体" w:cs="宋体"/>
                <w:color w:val="auto"/>
                <w:sz w:val="24"/>
                <w:szCs w:val="24"/>
                <w:highlight w:val="none"/>
              </w:rPr>
            </w:pPr>
          </w:p>
        </w:tc>
        <w:tc>
          <w:tcPr>
            <w:tcW w:w="844" w:type="dxa"/>
            <w:noWrap w:val="0"/>
            <w:vAlign w:val="top"/>
          </w:tcPr>
          <w:p w14:paraId="57D039DC">
            <w:pPr>
              <w:widowControl/>
              <w:jc w:val="center"/>
              <w:rPr>
                <w:rFonts w:hint="eastAsia" w:ascii="宋体" w:hAnsi="宋体" w:eastAsia="宋体" w:cs="宋体"/>
                <w:color w:val="auto"/>
                <w:sz w:val="24"/>
                <w:szCs w:val="24"/>
                <w:highlight w:val="none"/>
              </w:rPr>
            </w:pPr>
          </w:p>
        </w:tc>
        <w:tc>
          <w:tcPr>
            <w:tcW w:w="741" w:type="dxa"/>
            <w:noWrap w:val="0"/>
            <w:vAlign w:val="top"/>
          </w:tcPr>
          <w:p w14:paraId="3EF62ED7">
            <w:pPr>
              <w:widowControl/>
              <w:jc w:val="center"/>
              <w:rPr>
                <w:rFonts w:hint="eastAsia" w:ascii="宋体" w:hAnsi="宋体" w:eastAsia="宋体" w:cs="宋体"/>
                <w:color w:val="auto"/>
                <w:sz w:val="24"/>
                <w:szCs w:val="24"/>
                <w:highlight w:val="none"/>
              </w:rPr>
            </w:pPr>
          </w:p>
        </w:tc>
        <w:tc>
          <w:tcPr>
            <w:tcW w:w="844" w:type="dxa"/>
            <w:noWrap w:val="0"/>
            <w:vAlign w:val="top"/>
          </w:tcPr>
          <w:p w14:paraId="36F017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5000万元及以上</w:t>
            </w:r>
          </w:p>
          <w:p w14:paraId="5AB8CBFE">
            <w:pPr>
              <w:widowControl/>
              <w:jc w:val="center"/>
              <w:rPr>
                <w:rFonts w:hint="eastAsia" w:ascii="宋体" w:hAnsi="宋体" w:eastAsia="宋体" w:cs="宋体"/>
                <w:color w:val="auto"/>
                <w:sz w:val="24"/>
                <w:szCs w:val="24"/>
                <w:highlight w:val="none"/>
              </w:rPr>
            </w:pPr>
          </w:p>
        </w:tc>
        <w:tc>
          <w:tcPr>
            <w:tcW w:w="845" w:type="dxa"/>
            <w:noWrap w:val="0"/>
            <w:vAlign w:val="top"/>
          </w:tcPr>
          <w:p w14:paraId="40812C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2000万元及以上</w:t>
            </w:r>
          </w:p>
          <w:p w14:paraId="07A3CCD6">
            <w:pPr>
              <w:widowControl/>
              <w:jc w:val="center"/>
              <w:rPr>
                <w:rFonts w:hint="eastAsia" w:ascii="宋体" w:hAnsi="宋体" w:eastAsia="宋体" w:cs="宋体"/>
                <w:color w:val="auto"/>
                <w:sz w:val="24"/>
                <w:szCs w:val="24"/>
                <w:highlight w:val="none"/>
              </w:rPr>
            </w:pPr>
          </w:p>
        </w:tc>
        <w:tc>
          <w:tcPr>
            <w:tcW w:w="845" w:type="dxa"/>
            <w:noWrap w:val="0"/>
            <w:vAlign w:val="top"/>
          </w:tcPr>
          <w:p w14:paraId="298952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2000万元及以下</w:t>
            </w:r>
          </w:p>
          <w:p w14:paraId="02223B60">
            <w:pPr>
              <w:widowControl/>
              <w:jc w:val="center"/>
              <w:rPr>
                <w:rFonts w:hint="eastAsia" w:ascii="宋体" w:hAnsi="宋体" w:eastAsia="宋体" w:cs="宋体"/>
                <w:color w:val="auto"/>
                <w:sz w:val="24"/>
                <w:szCs w:val="24"/>
                <w:highlight w:val="none"/>
              </w:rPr>
            </w:pPr>
          </w:p>
        </w:tc>
      </w:tr>
      <w:tr w14:paraId="66BF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6DE376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物业管理</w:t>
            </w:r>
          </w:p>
        </w:tc>
        <w:tc>
          <w:tcPr>
            <w:tcW w:w="1586" w:type="dxa"/>
            <w:noWrap w:val="0"/>
            <w:vAlign w:val="top"/>
          </w:tcPr>
          <w:p w14:paraId="622B15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从业人员1000人以下或营业收入5000万元以下</w:t>
            </w:r>
          </w:p>
        </w:tc>
        <w:tc>
          <w:tcPr>
            <w:tcW w:w="844" w:type="dxa"/>
            <w:noWrap w:val="0"/>
            <w:vAlign w:val="top"/>
          </w:tcPr>
          <w:p w14:paraId="13EE9C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1000万元及以上</w:t>
            </w:r>
          </w:p>
        </w:tc>
        <w:tc>
          <w:tcPr>
            <w:tcW w:w="844" w:type="dxa"/>
            <w:noWrap w:val="0"/>
            <w:vAlign w:val="top"/>
          </w:tcPr>
          <w:p w14:paraId="73646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500万元及以上</w:t>
            </w:r>
          </w:p>
        </w:tc>
        <w:tc>
          <w:tcPr>
            <w:tcW w:w="844" w:type="dxa"/>
            <w:noWrap w:val="0"/>
            <w:vAlign w:val="top"/>
          </w:tcPr>
          <w:p w14:paraId="4F3C83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500万元以下</w:t>
            </w:r>
          </w:p>
          <w:p w14:paraId="465A99B3">
            <w:pPr>
              <w:widowControl/>
              <w:jc w:val="center"/>
              <w:rPr>
                <w:rFonts w:hint="eastAsia" w:ascii="宋体" w:hAnsi="宋体" w:eastAsia="宋体" w:cs="宋体"/>
                <w:color w:val="auto"/>
                <w:sz w:val="24"/>
                <w:szCs w:val="24"/>
                <w:highlight w:val="none"/>
              </w:rPr>
            </w:pPr>
          </w:p>
        </w:tc>
        <w:tc>
          <w:tcPr>
            <w:tcW w:w="844" w:type="dxa"/>
            <w:noWrap w:val="0"/>
            <w:vAlign w:val="top"/>
          </w:tcPr>
          <w:p w14:paraId="484F9E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300人及以上</w:t>
            </w:r>
          </w:p>
          <w:p w14:paraId="1D3B35E5">
            <w:pPr>
              <w:widowControl/>
              <w:jc w:val="center"/>
              <w:rPr>
                <w:rFonts w:hint="eastAsia" w:ascii="宋体" w:hAnsi="宋体" w:eastAsia="宋体" w:cs="宋体"/>
                <w:color w:val="auto"/>
                <w:sz w:val="24"/>
                <w:szCs w:val="24"/>
                <w:highlight w:val="none"/>
              </w:rPr>
            </w:pPr>
          </w:p>
        </w:tc>
        <w:tc>
          <w:tcPr>
            <w:tcW w:w="844" w:type="dxa"/>
            <w:noWrap w:val="0"/>
            <w:vAlign w:val="top"/>
          </w:tcPr>
          <w:p w14:paraId="3C441B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p w14:paraId="1A62727F">
            <w:pPr>
              <w:widowControl/>
              <w:jc w:val="center"/>
              <w:rPr>
                <w:rFonts w:hint="eastAsia" w:ascii="宋体" w:hAnsi="宋体" w:eastAsia="宋体" w:cs="宋体"/>
                <w:color w:val="auto"/>
                <w:sz w:val="24"/>
                <w:szCs w:val="24"/>
                <w:highlight w:val="none"/>
              </w:rPr>
            </w:pPr>
          </w:p>
        </w:tc>
        <w:tc>
          <w:tcPr>
            <w:tcW w:w="741" w:type="dxa"/>
            <w:noWrap w:val="0"/>
            <w:vAlign w:val="top"/>
          </w:tcPr>
          <w:p w14:paraId="1A6615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100人以下</w:t>
            </w:r>
          </w:p>
          <w:p w14:paraId="6FC1AB0C">
            <w:pPr>
              <w:widowControl/>
              <w:jc w:val="center"/>
              <w:rPr>
                <w:rFonts w:hint="eastAsia" w:ascii="宋体" w:hAnsi="宋体" w:eastAsia="宋体" w:cs="宋体"/>
                <w:color w:val="auto"/>
                <w:sz w:val="24"/>
                <w:szCs w:val="24"/>
                <w:highlight w:val="none"/>
              </w:rPr>
            </w:pPr>
          </w:p>
        </w:tc>
        <w:tc>
          <w:tcPr>
            <w:tcW w:w="844" w:type="dxa"/>
            <w:noWrap w:val="0"/>
            <w:vAlign w:val="top"/>
          </w:tcPr>
          <w:p w14:paraId="5BFDA2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1000万元及以上</w:t>
            </w:r>
          </w:p>
        </w:tc>
        <w:tc>
          <w:tcPr>
            <w:tcW w:w="845" w:type="dxa"/>
            <w:noWrap w:val="0"/>
            <w:vAlign w:val="top"/>
          </w:tcPr>
          <w:p w14:paraId="58F86D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500万元及以上</w:t>
            </w:r>
          </w:p>
        </w:tc>
        <w:tc>
          <w:tcPr>
            <w:tcW w:w="845" w:type="dxa"/>
            <w:noWrap w:val="0"/>
            <w:vAlign w:val="top"/>
          </w:tcPr>
          <w:p w14:paraId="579723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500万元及以下</w:t>
            </w:r>
          </w:p>
        </w:tc>
      </w:tr>
      <w:tr w14:paraId="456A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39A02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租赁和商业服务业</w:t>
            </w:r>
          </w:p>
        </w:tc>
        <w:tc>
          <w:tcPr>
            <w:tcW w:w="1586" w:type="dxa"/>
            <w:noWrap w:val="0"/>
            <w:vAlign w:val="top"/>
          </w:tcPr>
          <w:p w14:paraId="266308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人员300人以下或营业收入120000万元以下</w:t>
            </w:r>
          </w:p>
        </w:tc>
        <w:tc>
          <w:tcPr>
            <w:tcW w:w="844" w:type="dxa"/>
            <w:noWrap w:val="0"/>
            <w:vAlign w:val="top"/>
          </w:tcPr>
          <w:p w14:paraId="0EB9125B">
            <w:pPr>
              <w:widowControl/>
              <w:jc w:val="center"/>
              <w:rPr>
                <w:rFonts w:hint="eastAsia" w:ascii="宋体" w:hAnsi="宋体" w:eastAsia="宋体" w:cs="宋体"/>
                <w:color w:val="auto"/>
                <w:sz w:val="24"/>
                <w:szCs w:val="24"/>
                <w:highlight w:val="none"/>
              </w:rPr>
            </w:pPr>
          </w:p>
        </w:tc>
        <w:tc>
          <w:tcPr>
            <w:tcW w:w="844" w:type="dxa"/>
            <w:noWrap w:val="0"/>
            <w:vAlign w:val="top"/>
          </w:tcPr>
          <w:p w14:paraId="6C2C11C2">
            <w:pPr>
              <w:widowControl/>
              <w:jc w:val="center"/>
              <w:rPr>
                <w:rFonts w:hint="eastAsia" w:ascii="宋体" w:hAnsi="宋体" w:eastAsia="宋体" w:cs="宋体"/>
                <w:color w:val="auto"/>
                <w:sz w:val="24"/>
                <w:szCs w:val="24"/>
                <w:highlight w:val="none"/>
              </w:rPr>
            </w:pPr>
          </w:p>
        </w:tc>
        <w:tc>
          <w:tcPr>
            <w:tcW w:w="844" w:type="dxa"/>
            <w:noWrap w:val="0"/>
            <w:vAlign w:val="top"/>
          </w:tcPr>
          <w:p w14:paraId="4E166481">
            <w:pPr>
              <w:widowControl/>
              <w:jc w:val="center"/>
              <w:rPr>
                <w:rFonts w:hint="eastAsia" w:ascii="宋体" w:hAnsi="宋体" w:eastAsia="宋体" w:cs="宋体"/>
                <w:color w:val="auto"/>
                <w:sz w:val="24"/>
                <w:szCs w:val="24"/>
                <w:highlight w:val="none"/>
              </w:rPr>
            </w:pPr>
          </w:p>
        </w:tc>
        <w:tc>
          <w:tcPr>
            <w:tcW w:w="844" w:type="dxa"/>
            <w:noWrap w:val="0"/>
            <w:vAlign w:val="top"/>
          </w:tcPr>
          <w:p w14:paraId="4DDDAB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p w14:paraId="668E6939">
            <w:pPr>
              <w:widowControl/>
              <w:jc w:val="center"/>
              <w:rPr>
                <w:rFonts w:hint="eastAsia" w:ascii="宋体" w:hAnsi="宋体" w:eastAsia="宋体" w:cs="宋体"/>
                <w:color w:val="auto"/>
                <w:sz w:val="24"/>
                <w:szCs w:val="24"/>
                <w:highlight w:val="none"/>
              </w:rPr>
            </w:pPr>
          </w:p>
        </w:tc>
        <w:tc>
          <w:tcPr>
            <w:tcW w:w="844" w:type="dxa"/>
            <w:noWrap w:val="0"/>
            <w:vAlign w:val="top"/>
          </w:tcPr>
          <w:p w14:paraId="58A3EB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10人及以上</w:t>
            </w:r>
          </w:p>
          <w:p w14:paraId="5C0DCEB0">
            <w:pPr>
              <w:widowControl/>
              <w:jc w:val="center"/>
              <w:rPr>
                <w:rFonts w:hint="eastAsia" w:ascii="宋体" w:hAnsi="宋体" w:eastAsia="宋体" w:cs="宋体"/>
                <w:color w:val="auto"/>
                <w:sz w:val="24"/>
                <w:szCs w:val="24"/>
                <w:highlight w:val="none"/>
              </w:rPr>
            </w:pPr>
          </w:p>
        </w:tc>
        <w:tc>
          <w:tcPr>
            <w:tcW w:w="741" w:type="dxa"/>
            <w:noWrap w:val="0"/>
            <w:vAlign w:val="top"/>
          </w:tcPr>
          <w:p w14:paraId="41229D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10人以下</w:t>
            </w:r>
          </w:p>
          <w:p w14:paraId="3BE338BB">
            <w:pPr>
              <w:widowControl/>
              <w:jc w:val="center"/>
              <w:rPr>
                <w:rFonts w:hint="eastAsia" w:ascii="宋体" w:hAnsi="宋体" w:eastAsia="宋体" w:cs="宋体"/>
                <w:color w:val="auto"/>
                <w:sz w:val="24"/>
                <w:szCs w:val="24"/>
                <w:highlight w:val="none"/>
              </w:rPr>
            </w:pPr>
          </w:p>
        </w:tc>
        <w:tc>
          <w:tcPr>
            <w:tcW w:w="844" w:type="dxa"/>
            <w:noWrap w:val="0"/>
            <w:vAlign w:val="top"/>
          </w:tcPr>
          <w:p w14:paraId="4F7B08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8000万元及以上</w:t>
            </w:r>
          </w:p>
        </w:tc>
        <w:tc>
          <w:tcPr>
            <w:tcW w:w="845" w:type="dxa"/>
            <w:noWrap w:val="0"/>
            <w:vAlign w:val="top"/>
          </w:tcPr>
          <w:p w14:paraId="184583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100万元及以上</w:t>
            </w:r>
          </w:p>
        </w:tc>
        <w:tc>
          <w:tcPr>
            <w:tcW w:w="845" w:type="dxa"/>
            <w:noWrap w:val="0"/>
            <w:vAlign w:val="top"/>
          </w:tcPr>
          <w:p w14:paraId="57DE22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100万元及以下</w:t>
            </w:r>
          </w:p>
        </w:tc>
      </w:tr>
      <w:tr w14:paraId="08AB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noWrap w:val="0"/>
            <w:vAlign w:val="center"/>
          </w:tcPr>
          <w:p w14:paraId="2A5B20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w:t>
            </w:r>
          </w:p>
          <w:p w14:paraId="6066AF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列明行</w:t>
            </w:r>
          </w:p>
          <w:p w14:paraId="56B2F5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w:t>
            </w:r>
          </w:p>
        </w:tc>
        <w:tc>
          <w:tcPr>
            <w:tcW w:w="1586" w:type="dxa"/>
            <w:noWrap w:val="0"/>
            <w:vAlign w:val="top"/>
          </w:tcPr>
          <w:p w14:paraId="0D811A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w:t>
            </w:r>
          </w:p>
          <w:p w14:paraId="2F0149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 人以下</w:t>
            </w:r>
          </w:p>
        </w:tc>
        <w:tc>
          <w:tcPr>
            <w:tcW w:w="844" w:type="dxa"/>
            <w:noWrap w:val="0"/>
            <w:vAlign w:val="top"/>
          </w:tcPr>
          <w:p w14:paraId="7D7F757C">
            <w:pPr>
              <w:widowControl/>
              <w:jc w:val="center"/>
              <w:rPr>
                <w:rFonts w:hint="eastAsia" w:ascii="宋体" w:hAnsi="宋体" w:eastAsia="宋体" w:cs="宋体"/>
                <w:color w:val="auto"/>
                <w:sz w:val="24"/>
                <w:szCs w:val="24"/>
                <w:highlight w:val="none"/>
              </w:rPr>
            </w:pPr>
          </w:p>
        </w:tc>
        <w:tc>
          <w:tcPr>
            <w:tcW w:w="844" w:type="dxa"/>
            <w:noWrap w:val="0"/>
            <w:vAlign w:val="top"/>
          </w:tcPr>
          <w:p w14:paraId="366E15B3">
            <w:pPr>
              <w:widowControl/>
              <w:jc w:val="center"/>
              <w:rPr>
                <w:rFonts w:hint="eastAsia" w:ascii="宋体" w:hAnsi="宋体" w:eastAsia="宋体" w:cs="宋体"/>
                <w:color w:val="auto"/>
                <w:sz w:val="24"/>
                <w:szCs w:val="24"/>
                <w:highlight w:val="none"/>
              </w:rPr>
            </w:pPr>
          </w:p>
        </w:tc>
        <w:tc>
          <w:tcPr>
            <w:tcW w:w="844" w:type="dxa"/>
            <w:noWrap w:val="0"/>
            <w:vAlign w:val="top"/>
          </w:tcPr>
          <w:p w14:paraId="0590703A">
            <w:pPr>
              <w:widowControl/>
              <w:jc w:val="center"/>
              <w:rPr>
                <w:rFonts w:hint="eastAsia" w:ascii="宋体" w:hAnsi="宋体" w:eastAsia="宋体" w:cs="宋体"/>
                <w:color w:val="auto"/>
                <w:sz w:val="24"/>
                <w:szCs w:val="24"/>
                <w:highlight w:val="none"/>
              </w:rPr>
            </w:pPr>
          </w:p>
        </w:tc>
        <w:tc>
          <w:tcPr>
            <w:tcW w:w="844" w:type="dxa"/>
            <w:noWrap w:val="0"/>
            <w:vAlign w:val="top"/>
          </w:tcPr>
          <w:p w14:paraId="5CE484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100人及以上</w:t>
            </w:r>
          </w:p>
        </w:tc>
        <w:tc>
          <w:tcPr>
            <w:tcW w:w="844" w:type="dxa"/>
            <w:noWrap w:val="0"/>
            <w:vAlign w:val="top"/>
          </w:tcPr>
          <w:p w14:paraId="141ADD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10人及以上</w:t>
            </w:r>
          </w:p>
        </w:tc>
        <w:tc>
          <w:tcPr>
            <w:tcW w:w="741" w:type="dxa"/>
            <w:noWrap w:val="0"/>
            <w:vAlign w:val="top"/>
          </w:tcPr>
          <w:p w14:paraId="04EA60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10人以下</w:t>
            </w:r>
          </w:p>
          <w:p w14:paraId="73812DF3">
            <w:pPr>
              <w:widowControl/>
              <w:jc w:val="center"/>
              <w:rPr>
                <w:rFonts w:hint="eastAsia" w:ascii="宋体" w:hAnsi="宋体" w:eastAsia="宋体" w:cs="宋体"/>
                <w:color w:val="auto"/>
                <w:sz w:val="24"/>
                <w:szCs w:val="24"/>
                <w:highlight w:val="none"/>
              </w:rPr>
            </w:pPr>
          </w:p>
        </w:tc>
        <w:tc>
          <w:tcPr>
            <w:tcW w:w="844" w:type="dxa"/>
            <w:noWrap w:val="0"/>
            <w:vAlign w:val="top"/>
          </w:tcPr>
          <w:p w14:paraId="2E595532">
            <w:pPr>
              <w:widowControl/>
              <w:jc w:val="center"/>
              <w:rPr>
                <w:rFonts w:hint="eastAsia" w:ascii="宋体" w:hAnsi="宋体" w:eastAsia="宋体" w:cs="宋体"/>
                <w:color w:val="auto"/>
                <w:sz w:val="24"/>
                <w:szCs w:val="24"/>
                <w:highlight w:val="none"/>
              </w:rPr>
            </w:pPr>
          </w:p>
        </w:tc>
        <w:tc>
          <w:tcPr>
            <w:tcW w:w="845" w:type="dxa"/>
            <w:noWrap w:val="0"/>
            <w:vAlign w:val="top"/>
          </w:tcPr>
          <w:p w14:paraId="64093372">
            <w:pPr>
              <w:widowControl/>
              <w:jc w:val="center"/>
              <w:rPr>
                <w:rFonts w:hint="eastAsia" w:ascii="宋体" w:hAnsi="宋体" w:eastAsia="宋体" w:cs="宋体"/>
                <w:color w:val="auto"/>
                <w:sz w:val="24"/>
                <w:szCs w:val="24"/>
                <w:highlight w:val="none"/>
              </w:rPr>
            </w:pPr>
          </w:p>
        </w:tc>
        <w:tc>
          <w:tcPr>
            <w:tcW w:w="845" w:type="dxa"/>
            <w:noWrap w:val="0"/>
            <w:vAlign w:val="top"/>
          </w:tcPr>
          <w:p w14:paraId="49994D04">
            <w:pPr>
              <w:widowControl/>
              <w:jc w:val="center"/>
              <w:rPr>
                <w:rFonts w:hint="eastAsia" w:ascii="宋体" w:hAnsi="宋体" w:eastAsia="宋体" w:cs="宋体"/>
                <w:color w:val="auto"/>
                <w:sz w:val="24"/>
                <w:szCs w:val="24"/>
                <w:highlight w:val="none"/>
              </w:rPr>
            </w:pPr>
          </w:p>
        </w:tc>
      </w:tr>
    </w:tbl>
    <w:p w14:paraId="4D5D7A24">
      <w:pPr>
        <w:spacing w:line="489" w:lineRule="auto"/>
        <w:rPr>
          <w:rFonts w:hint="eastAsia" w:ascii="宋体" w:hAnsi="宋体" w:eastAsia="宋体" w:cs="宋体"/>
          <w:color w:val="auto"/>
          <w:sz w:val="18"/>
          <w:szCs w:val="18"/>
          <w:highlight w:val="none"/>
        </w:rPr>
      </w:pPr>
    </w:p>
    <w:p w14:paraId="33310D71">
      <w:pPr>
        <w:pStyle w:val="5"/>
        <w:ind w:left="2"/>
        <w:jc w:val="center"/>
        <w:rPr>
          <w:rFonts w:hint="eastAsia" w:ascii="宋体" w:hAnsi="宋体" w:eastAsia="宋体" w:cs="宋体"/>
          <w:color w:val="auto"/>
          <w:highlight w:val="none"/>
        </w:rPr>
      </w:pPr>
      <w:bookmarkStart w:id="202" w:name="_Toc142476154"/>
      <w:r>
        <w:rPr>
          <w:rFonts w:hint="eastAsia" w:ascii="宋体" w:hAnsi="宋体" w:eastAsia="宋体" w:cs="宋体"/>
          <w:color w:val="auto"/>
          <w:highlight w:val="none"/>
        </w:rPr>
        <w:t>投标信息采集</w:t>
      </w:r>
      <w:bookmarkEnd w:id="202"/>
    </w:p>
    <w:p w14:paraId="7CEF42AB">
      <w:pPr>
        <w:pStyle w:val="2"/>
        <w:ind w:left="2255" w:hanging="1205"/>
        <w:rPr>
          <w:rFonts w:hint="eastAsia" w:ascii="宋体" w:hAnsi="宋体" w:eastAsia="宋体" w:cs="宋体"/>
          <w:b/>
          <w:color w:val="auto"/>
          <w:highlight w:val="none"/>
        </w:rPr>
      </w:pPr>
    </w:p>
    <w:p w14:paraId="2CC5CF9C">
      <w:pPr>
        <w:pStyle w:val="19"/>
        <w:bidi w:val="0"/>
        <w:rPr>
          <w:rFonts w:hint="eastAsia" w:ascii="宋体" w:hAnsi="宋体" w:eastAsia="宋体" w:cs="宋体"/>
          <w:color w:val="auto"/>
          <w:sz w:val="24"/>
          <w:highlight w:val="none"/>
        </w:rPr>
      </w:pPr>
      <w:bookmarkStart w:id="203" w:name="_Toc142476155"/>
      <w:r>
        <w:rPr>
          <w:rFonts w:hint="eastAsia" w:ascii="宋体" w:hAnsi="宋体" w:eastAsia="宋体" w:cs="宋体"/>
          <w:color w:val="auto"/>
          <w:sz w:val="24"/>
          <w:highlight w:val="none"/>
        </w:rPr>
        <w:t>1、投标人名称：</w:t>
      </w:r>
      <w:bookmarkEnd w:id="203"/>
      <w:r>
        <w:rPr>
          <w:rFonts w:hint="eastAsia" w:ascii="宋体" w:hAnsi="宋体" w:eastAsia="宋体" w:cs="宋体"/>
          <w:color w:val="auto"/>
          <w:sz w:val="24"/>
          <w:highlight w:val="none"/>
        </w:rPr>
        <w:tab/>
      </w:r>
    </w:p>
    <w:p w14:paraId="61541F63">
      <w:pPr>
        <w:pStyle w:val="19"/>
        <w:bidi w:val="0"/>
        <w:rPr>
          <w:rFonts w:hint="eastAsia" w:ascii="宋体" w:hAnsi="宋体" w:eastAsia="宋体" w:cs="宋体"/>
          <w:color w:val="auto"/>
          <w:sz w:val="24"/>
          <w:highlight w:val="none"/>
        </w:rPr>
      </w:pPr>
      <w:bookmarkStart w:id="204" w:name="_Toc142476156"/>
      <w:r>
        <w:rPr>
          <w:rFonts w:hint="eastAsia" w:ascii="宋体" w:hAnsi="宋体" w:eastAsia="宋体" w:cs="宋体"/>
          <w:color w:val="auto"/>
          <w:sz w:val="24"/>
          <w:highlight w:val="none"/>
        </w:rPr>
        <w:t>2、企业地址（营业执照地址）：</w:t>
      </w:r>
      <w:bookmarkEnd w:id="204"/>
      <w:r>
        <w:rPr>
          <w:rFonts w:hint="eastAsia" w:ascii="宋体" w:hAnsi="宋体" w:eastAsia="宋体" w:cs="宋体"/>
          <w:color w:val="auto"/>
          <w:sz w:val="24"/>
          <w:highlight w:val="none"/>
        </w:rPr>
        <w:tab/>
      </w:r>
    </w:p>
    <w:p w14:paraId="4F13B290">
      <w:pPr>
        <w:pStyle w:val="19"/>
        <w:bidi w:val="0"/>
        <w:rPr>
          <w:rFonts w:hint="eastAsia"/>
          <w:color w:val="auto"/>
          <w:highlight w:val="none"/>
        </w:rPr>
      </w:pPr>
      <w:bookmarkStart w:id="205" w:name="_Toc142476157"/>
      <w:r>
        <w:rPr>
          <w:rFonts w:hint="eastAsia"/>
          <w:color w:val="auto"/>
          <w:highlight w:val="none"/>
        </w:rPr>
        <w:t>3、类似业绩汇总表</w:t>
      </w:r>
      <w:bookmarkEnd w:id="205"/>
    </w:p>
    <w:tbl>
      <w:tblPr>
        <w:tblStyle w:val="15"/>
        <w:tblW w:w="811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1131"/>
        <w:gridCol w:w="1133"/>
        <w:gridCol w:w="1133"/>
        <w:gridCol w:w="1133"/>
        <w:gridCol w:w="1133"/>
        <w:gridCol w:w="1324"/>
      </w:tblGrid>
      <w:tr w14:paraId="5725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1131" w:type="dxa"/>
            <w:noWrap w:val="0"/>
            <w:vAlign w:val="top"/>
          </w:tcPr>
          <w:p w14:paraId="1C1AF121">
            <w:pPr>
              <w:pStyle w:val="21"/>
              <w:spacing w:before="1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1" w:type="dxa"/>
            <w:noWrap w:val="0"/>
            <w:vAlign w:val="top"/>
          </w:tcPr>
          <w:p w14:paraId="3BC861B1">
            <w:pPr>
              <w:pStyle w:val="21"/>
              <w:spacing w:before="108"/>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33" w:type="dxa"/>
            <w:noWrap w:val="0"/>
            <w:vAlign w:val="top"/>
          </w:tcPr>
          <w:p w14:paraId="19B81159">
            <w:pPr>
              <w:pStyle w:val="21"/>
              <w:spacing w:before="108"/>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33" w:type="dxa"/>
            <w:noWrap w:val="0"/>
            <w:vAlign w:val="top"/>
          </w:tcPr>
          <w:p w14:paraId="306C0F4C">
            <w:pPr>
              <w:pStyle w:val="21"/>
              <w:spacing w:before="108"/>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133" w:type="dxa"/>
            <w:noWrap w:val="0"/>
            <w:vAlign w:val="top"/>
          </w:tcPr>
          <w:p w14:paraId="2DB5AEA6">
            <w:pPr>
              <w:pStyle w:val="21"/>
              <w:spacing w:before="108" w:line="357"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1133" w:type="dxa"/>
            <w:noWrap w:val="0"/>
            <w:vAlign w:val="top"/>
          </w:tcPr>
          <w:p w14:paraId="16BC3991">
            <w:pPr>
              <w:pStyle w:val="21"/>
              <w:spacing w:before="1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验收时间</w:t>
            </w:r>
          </w:p>
        </w:tc>
        <w:tc>
          <w:tcPr>
            <w:tcW w:w="1324" w:type="dxa"/>
            <w:noWrap w:val="0"/>
            <w:vAlign w:val="top"/>
          </w:tcPr>
          <w:p w14:paraId="56A93954">
            <w:pPr>
              <w:pStyle w:val="21"/>
              <w:spacing w:before="108" w:line="357" w:lineRule="auto"/>
              <w:ind w:right="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中标公示查询网站（写明网站名称即可）</w:t>
            </w:r>
          </w:p>
        </w:tc>
      </w:tr>
      <w:tr w14:paraId="053A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131" w:type="dxa"/>
            <w:noWrap w:val="0"/>
            <w:vAlign w:val="top"/>
          </w:tcPr>
          <w:p w14:paraId="4C430325">
            <w:pPr>
              <w:pStyle w:val="21"/>
              <w:rPr>
                <w:rFonts w:hint="eastAsia" w:ascii="宋体" w:hAnsi="宋体" w:eastAsia="宋体" w:cs="宋体"/>
                <w:color w:val="auto"/>
                <w:sz w:val="24"/>
                <w:szCs w:val="24"/>
                <w:highlight w:val="none"/>
              </w:rPr>
            </w:pPr>
          </w:p>
        </w:tc>
        <w:tc>
          <w:tcPr>
            <w:tcW w:w="1131" w:type="dxa"/>
            <w:noWrap w:val="0"/>
            <w:vAlign w:val="top"/>
          </w:tcPr>
          <w:p w14:paraId="19193A97">
            <w:pPr>
              <w:pStyle w:val="21"/>
              <w:rPr>
                <w:rFonts w:hint="eastAsia" w:ascii="宋体" w:hAnsi="宋体" w:eastAsia="宋体" w:cs="宋体"/>
                <w:color w:val="auto"/>
                <w:sz w:val="24"/>
                <w:szCs w:val="24"/>
                <w:highlight w:val="none"/>
              </w:rPr>
            </w:pPr>
          </w:p>
        </w:tc>
        <w:tc>
          <w:tcPr>
            <w:tcW w:w="1133" w:type="dxa"/>
            <w:noWrap w:val="0"/>
            <w:vAlign w:val="top"/>
          </w:tcPr>
          <w:p w14:paraId="10D73A04">
            <w:pPr>
              <w:pStyle w:val="21"/>
              <w:rPr>
                <w:rFonts w:hint="eastAsia" w:ascii="宋体" w:hAnsi="宋体" w:eastAsia="宋体" w:cs="宋体"/>
                <w:color w:val="auto"/>
                <w:sz w:val="24"/>
                <w:szCs w:val="24"/>
                <w:highlight w:val="none"/>
              </w:rPr>
            </w:pPr>
          </w:p>
        </w:tc>
        <w:tc>
          <w:tcPr>
            <w:tcW w:w="1133" w:type="dxa"/>
            <w:noWrap w:val="0"/>
            <w:vAlign w:val="top"/>
          </w:tcPr>
          <w:p w14:paraId="05384F94">
            <w:pPr>
              <w:pStyle w:val="21"/>
              <w:rPr>
                <w:rFonts w:hint="eastAsia" w:ascii="宋体" w:hAnsi="宋体" w:eastAsia="宋体" w:cs="宋体"/>
                <w:color w:val="auto"/>
                <w:sz w:val="24"/>
                <w:szCs w:val="24"/>
                <w:highlight w:val="none"/>
              </w:rPr>
            </w:pPr>
          </w:p>
        </w:tc>
        <w:tc>
          <w:tcPr>
            <w:tcW w:w="1133" w:type="dxa"/>
            <w:noWrap w:val="0"/>
            <w:vAlign w:val="top"/>
          </w:tcPr>
          <w:p w14:paraId="715A10C6">
            <w:pPr>
              <w:pStyle w:val="21"/>
              <w:rPr>
                <w:rFonts w:hint="eastAsia" w:ascii="宋体" w:hAnsi="宋体" w:eastAsia="宋体" w:cs="宋体"/>
                <w:color w:val="auto"/>
                <w:sz w:val="24"/>
                <w:szCs w:val="24"/>
                <w:highlight w:val="none"/>
              </w:rPr>
            </w:pPr>
          </w:p>
        </w:tc>
        <w:tc>
          <w:tcPr>
            <w:tcW w:w="1133" w:type="dxa"/>
            <w:noWrap w:val="0"/>
            <w:vAlign w:val="top"/>
          </w:tcPr>
          <w:p w14:paraId="4D06D8B1">
            <w:pPr>
              <w:pStyle w:val="21"/>
              <w:rPr>
                <w:rFonts w:hint="eastAsia" w:ascii="宋体" w:hAnsi="宋体" w:eastAsia="宋体" w:cs="宋体"/>
                <w:color w:val="auto"/>
                <w:sz w:val="24"/>
                <w:szCs w:val="24"/>
                <w:highlight w:val="none"/>
              </w:rPr>
            </w:pPr>
          </w:p>
        </w:tc>
        <w:tc>
          <w:tcPr>
            <w:tcW w:w="1324" w:type="dxa"/>
            <w:noWrap w:val="0"/>
            <w:vAlign w:val="top"/>
          </w:tcPr>
          <w:p w14:paraId="0B5DDF46">
            <w:pPr>
              <w:pStyle w:val="21"/>
              <w:rPr>
                <w:rFonts w:hint="eastAsia" w:ascii="宋体" w:hAnsi="宋体" w:eastAsia="宋体" w:cs="宋体"/>
                <w:color w:val="auto"/>
                <w:sz w:val="24"/>
                <w:szCs w:val="24"/>
                <w:highlight w:val="none"/>
              </w:rPr>
            </w:pPr>
          </w:p>
        </w:tc>
      </w:tr>
      <w:tr w14:paraId="325D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131" w:type="dxa"/>
            <w:noWrap w:val="0"/>
            <w:vAlign w:val="top"/>
          </w:tcPr>
          <w:p w14:paraId="7EEC414B">
            <w:pPr>
              <w:pStyle w:val="21"/>
              <w:rPr>
                <w:rFonts w:hint="eastAsia" w:ascii="宋体" w:hAnsi="宋体" w:eastAsia="宋体" w:cs="宋体"/>
                <w:color w:val="auto"/>
                <w:sz w:val="24"/>
                <w:szCs w:val="24"/>
                <w:highlight w:val="none"/>
              </w:rPr>
            </w:pPr>
          </w:p>
        </w:tc>
        <w:tc>
          <w:tcPr>
            <w:tcW w:w="1131" w:type="dxa"/>
            <w:noWrap w:val="0"/>
            <w:vAlign w:val="top"/>
          </w:tcPr>
          <w:p w14:paraId="18586207">
            <w:pPr>
              <w:pStyle w:val="21"/>
              <w:rPr>
                <w:rFonts w:hint="eastAsia" w:ascii="宋体" w:hAnsi="宋体" w:eastAsia="宋体" w:cs="宋体"/>
                <w:color w:val="auto"/>
                <w:sz w:val="24"/>
                <w:szCs w:val="24"/>
                <w:highlight w:val="none"/>
              </w:rPr>
            </w:pPr>
          </w:p>
        </w:tc>
        <w:tc>
          <w:tcPr>
            <w:tcW w:w="1133" w:type="dxa"/>
            <w:noWrap w:val="0"/>
            <w:vAlign w:val="top"/>
          </w:tcPr>
          <w:p w14:paraId="7A4424F6">
            <w:pPr>
              <w:pStyle w:val="21"/>
              <w:rPr>
                <w:rFonts w:hint="eastAsia" w:ascii="宋体" w:hAnsi="宋体" w:eastAsia="宋体" w:cs="宋体"/>
                <w:color w:val="auto"/>
                <w:sz w:val="24"/>
                <w:szCs w:val="24"/>
                <w:highlight w:val="none"/>
              </w:rPr>
            </w:pPr>
          </w:p>
        </w:tc>
        <w:tc>
          <w:tcPr>
            <w:tcW w:w="1133" w:type="dxa"/>
            <w:noWrap w:val="0"/>
            <w:vAlign w:val="top"/>
          </w:tcPr>
          <w:p w14:paraId="4D5D27AE">
            <w:pPr>
              <w:pStyle w:val="21"/>
              <w:rPr>
                <w:rFonts w:hint="eastAsia" w:ascii="宋体" w:hAnsi="宋体" w:eastAsia="宋体" w:cs="宋体"/>
                <w:color w:val="auto"/>
                <w:sz w:val="24"/>
                <w:szCs w:val="24"/>
                <w:highlight w:val="none"/>
              </w:rPr>
            </w:pPr>
          </w:p>
        </w:tc>
        <w:tc>
          <w:tcPr>
            <w:tcW w:w="1133" w:type="dxa"/>
            <w:noWrap w:val="0"/>
            <w:vAlign w:val="top"/>
          </w:tcPr>
          <w:p w14:paraId="23C3A122">
            <w:pPr>
              <w:pStyle w:val="21"/>
              <w:rPr>
                <w:rFonts w:hint="eastAsia" w:ascii="宋体" w:hAnsi="宋体" w:eastAsia="宋体" w:cs="宋体"/>
                <w:color w:val="auto"/>
                <w:sz w:val="24"/>
                <w:szCs w:val="24"/>
                <w:highlight w:val="none"/>
              </w:rPr>
            </w:pPr>
          </w:p>
        </w:tc>
        <w:tc>
          <w:tcPr>
            <w:tcW w:w="1133" w:type="dxa"/>
            <w:noWrap w:val="0"/>
            <w:vAlign w:val="top"/>
          </w:tcPr>
          <w:p w14:paraId="6F28A333">
            <w:pPr>
              <w:pStyle w:val="21"/>
              <w:rPr>
                <w:rFonts w:hint="eastAsia" w:ascii="宋体" w:hAnsi="宋体" w:eastAsia="宋体" w:cs="宋体"/>
                <w:color w:val="auto"/>
                <w:sz w:val="24"/>
                <w:szCs w:val="24"/>
                <w:highlight w:val="none"/>
              </w:rPr>
            </w:pPr>
          </w:p>
        </w:tc>
        <w:tc>
          <w:tcPr>
            <w:tcW w:w="1324" w:type="dxa"/>
            <w:noWrap w:val="0"/>
            <w:vAlign w:val="top"/>
          </w:tcPr>
          <w:p w14:paraId="29AED146">
            <w:pPr>
              <w:pStyle w:val="21"/>
              <w:rPr>
                <w:rFonts w:hint="eastAsia" w:ascii="宋体" w:hAnsi="宋体" w:eastAsia="宋体" w:cs="宋体"/>
                <w:color w:val="auto"/>
                <w:sz w:val="24"/>
                <w:szCs w:val="24"/>
                <w:highlight w:val="none"/>
              </w:rPr>
            </w:pPr>
          </w:p>
        </w:tc>
      </w:tr>
      <w:tr w14:paraId="49C24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31" w:type="dxa"/>
            <w:noWrap w:val="0"/>
            <w:vAlign w:val="top"/>
          </w:tcPr>
          <w:p w14:paraId="3861E9B2">
            <w:pPr>
              <w:pStyle w:val="21"/>
              <w:rPr>
                <w:rFonts w:hint="eastAsia" w:ascii="宋体" w:hAnsi="宋体" w:eastAsia="宋体" w:cs="宋体"/>
                <w:color w:val="auto"/>
                <w:sz w:val="24"/>
                <w:szCs w:val="24"/>
                <w:highlight w:val="none"/>
              </w:rPr>
            </w:pPr>
          </w:p>
        </w:tc>
        <w:tc>
          <w:tcPr>
            <w:tcW w:w="1131" w:type="dxa"/>
            <w:noWrap w:val="0"/>
            <w:vAlign w:val="top"/>
          </w:tcPr>
          <w:p w14:paraId="11A21C8B">
            <w:pPr>
              <w:pStyle w:val="21"/>
              <w:rPr>
                <w:rFonts w:hint="eastAsia" w:ascii="宋体" w:hAnsi="宋体" w:eastAsia="宋体" w:cs="宋体"/>
                <w:color w:val="auto"/>
                <w:sz w:val="24"/>
                <w:szCs w:val="24"/>
                <w:highlight w:val="none"/>
              </w:rPr>
            </w:pPr>
          </w:p>
        </w:tc>
        <w:tc>
          <w:tcPr>
            <w:tcW w:w="1133" w:type="dxa"/>
            <w:noWrap w:val="0"/>
            <w:vAlign w:val="top"/>
          </w:tcPr>
          <w:p w14:paraId="287796C8">
            <w:pPr>
              <w:pStyle w:val="21"/>
              <w:rPr>
                <w:rFonts w:hint="eastAsia" w:ascii="宋体" w:hAnsi="宋体" w:eastAsia="宋体" w:cs="宋体"/>
                <w:color w:val="auto"/>
                <w:sz w:val="24"/>
                <w:szCs w:val="24"/>
                <w:highlight w:val="none"/>
              </w:rPr>
            </w:pPr>
          </w:p>
        </w:tc>
        <w:tc>
          <w:tcPr>
            <w:tcW w:w="1133" w:type="dxa"/>
            <w:noWrap w:val="0"/>
            <w:vAlign w:val="top"/>
          </w:tcPr>
          <w:p w14:paraId="1F203B10">
            <w:pPr>
              <w:pStyle w:val="21"/>
              <w:rPr>
                <w:rFonts w:hint="eastAsia" w:ascii="宋体" w:hAnsi="宋体" w:eastAsia="宋体" w:cs="宋体"/>
                <w:color w:val="auto"/>
                <w:sz w:val="24"/>
                <w:szCs w:val="24"/>
                <w:highlight w:val="none"/>
              </w:rPr>
            </w:pPr>
          </w:p>
        </w:tc>
        <w:tc>
          <w:tcPr>
            <w:tcW w:w="1133" w:type="dxa"/>
            <w:noWrap w:val="0"/>
            <w:vAlign w:val="top"/>
          </w:tcPr>
          <w:p w14:paraId="6E1A0613">
            <w:pPr>
              <w:pStyle w:val="21"/>
              <w:rPr>
                <w:rFonts w:hint="eastAsia" w:ascii="宋体" w:hAnsi="宋体" w:eastAsia="宋体" w:cs="宋体"/>
                <w:color w:val="auto"/>
                <w:sz w:val="24"/>
                <w:szCs w:val="24"/>
                <w:highlight w:val="none"/>
              </w:rPr>
            </w:pPr>
          </w:p>
        </w:tc>
        <w:tc>
          <w:tcPr>
            <w:tcW w:w="1133" w:type="dxa"/>
            <w:noWrap w:val="0"/>
            <w:vAlign w:val="top"/>
          </w:tcPr>
          <w:p w14:paraId="34D6C175">
            <w:pPr>
              <w:pStyle w:val="21"/>
              <w:rPr>
                <w:rFonts w:hint="eastAsia" w:ascii="宋体" w:hAnsi="宋体" w:eastAsia="宋体" w:cs="宋体"/>
                <w:color w:val="auto"/>
                <w:sz w:val="24"/>
                <w:szCs w:val="24"/>
                <w:highlight w:val="none"/>
              </w:rPr>
            </w:pPr>
          </w:p>
        </w:tc>
        <w:tc>
          <w:tcPr>
            <w:tcW w:w="1324" w:type="dxa"/>
            <w:noWrap w:val="0"/>
            <w:vAlign w:val="top"/>
          </w:tcPr>
          <w:p w14:paraId="3394BABB">
            <w:pPr>
              <w:pStyle w:val="21"/>
              <w:rPr>
                <w:rFonts w:hint="eastAsia" w:ascii="宋体" w:hAnsi="宋体" w:eastAsia="宋体" w:cs="宋体"/>
                <w:color w:val="auto"/>
                <w:sz w:val="24"/>
                <w:szCs w:val="24"/>
                <w:highlight w:val="none"/>
              </w:rPr>
            </w:pPr>
          </w:p>
        </w:tc>
      </w:tr>
    </w:tbl>
    <w:p w14:paraId="3BA06A6A">
      <w:pPr>
        <w:pStyle w:val="18"/>
        <w:tabs>
          <w:tab w:val="left" w:pos="2953"/>
        </w:tabs>
        <w:rPr>
          <w:rFonts w:hint="eastAsia" w:ascii="宋体" w:hAnsi="宋体" w:eastAsia="宋体" w:cs="宋体"/>
          <w:color w:val="auto"/>
          <w:highlight w:val="none"/>
        </w:rPr>
      </w:pPr>
      <w:r>
        <w:rPr>
          <w:rFonts w:hint="eastAsia" w:ascii="宋体" w:hAnsi="宋体" w:eastAsia="宋体" w:cs="宋体"/>
          <w:color w:val="auto"/>
          <w:highlight w:val="none"/>
        </w:rPr>
        <w:t>注：（附投标文件最后一页）</w:t>
      </w:r>
    </w:p>
    <w:p w14:paraId="38AB7DA1">
      <w:pPr>
        <w:rPr>
          <w:rFonts w:hint="eastAsia" w:ascii="宋体" w:hAnsi="宋体" w:eastAsia="宋体" w:cs="宋体"/>
          <w:color w:val="auto"/>
          <w:highlight w:val="none"/>
        </w:rPr>
      </w:pPr>
    </w:p>
    <w:p w14:paraId="438F7A34">
      <w:pPr>
        <w:rPr>
          <w:rFonts w:hint="eastAsia" w:ascii="宋体" w:hAnsi="宋体" w:eastAsia="宋体" w:cs="宋体"/>
          <w:color w:val="auto"/>
          <w:highlight w:val="none"/>
        </w:rPr>
      </w:pPr>
    </w:p>
    <w:p w14:paraId="0E09EEE7">
      <w:pPr>
        <w:rPr>
          <w:rFonts w:hint="eastAsia" w:ascii="宋体" w:hAnsi="宋体" w:eastAsia="宋体" w:cs="宋体"/>
          <w:color w:val="auto"/>
          <w:highlight w:val="none"/>
        </w:rPr>
      </w:pPr>
    </w:p>
    <w:p w14:paraId="1A1D7B2A">
      <w:pPr>
        <w:rPr>
          <w:rFonts w:hint="eastAsia" w:ascii="宋体" w:hAnsi="宋体" w:eastAsia="宋体" w:cs="宋体"/>
          <w:color w:val="auto"/>
          <w:highlight w:val="none"/>
        </w:rPr>
      </w:pPr>
    </w:p>
    <w:p w14:paraId="35AC8DD0">
      <w:bookmarkStart w:id="206" w:name="_GoBack"/>
      <w:bookmarkEnd w:id="206"/>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CE5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0B94">
    <w:pPr>
      <w:pStyle w:val="9"/>
      <w:tabs>
        <w:tab w:val="center" w:pos="4153"/>
        <w:tab w:val="right" w:pos="8306"/>
      </w:tabs>
      <w:ind w:firstLine="36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915C5">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1915C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B7D8">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FBD18">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8BFBD1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2BC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FB1FC"/>
    <w:multiLevelType w:val="singleLevel"/>
    <w:tmpl w:val="979FB1FC"/>
    <w:lvl w:ilvl="0" w:tentative="0">
      <w:start w:val="1"/>
      <w:numFmt w:val="decimal"/>
      <w:lvlText w:val="%1)"/>
      <w:lvlJc w:val="left"/>
      <w:pPr>
        <w:tabs>
          <w:tab w:val="left" w:pos="312"/>
        </w:tabs>
      </w:pPr>
    </w:lvl>
  </w:abstractNum>
  <w:abstractNum w:abstractNumId="1">
    <w:nsid w:val="D12983C5"/>
    <w:multiLevelType w:val="singleLevel"/>
    <w:tmpl w:val="D12983C5"/>
    <w:lvl w:ilvl="0" w:tentative="0">
      <w:start w:val="1"/>
      <w:numFmt w:val="decimal"/>
      <w:lvlText w:val="%1."/>
      <w:lvlJc w:val="left"/>
      <w:pPr>
        <w:tabs>
          <w:tab w:val="left" w:pos="312"/>
        </w:tabs>
      </w:pPr>
    </w:lvl>
  </w:abstractNum>
  <w:abstractNum w:abstractNumId="2">
    <w:nsid w:val="E4267793"/>
    <w:multiLevelType w:val="singleLevel"/>
    <w:tmpl w:val="E4267793"/>
    <w:lvl w:ilvl="0" w:tentative="0">
      <w:start w:val="2"/>
      <w:numFmt w:val="decimal"/>
      <w:suff w:val="nothing"/>
      <w:lvlText w:val="%1、"/>
      <w:lvlJc w:val="left"/>
    </w:lvl>
  </w:abstractNum>
  <w:abstractNum w:abstractNumId="3">
    <w:nsid w:val="1C19591C"/>
    <w:multiLevelType w:val="singleLevel"/>
    <w:tmpl w:val="1C19591C"/>
    <w:lvl w:ilvl="0" w:tentative="0">
      <w:start w:val="3"/>
      <w:numFmt w:val="decimal"/>
      <w:suff w:val="nothing"/>
      <w:lvlText w:val="%1、"/>
      <w:lvlJc w:val="left"/>
    </w:lvl>
  </w:abstractNum>
  <w:abstractNum w:abstractNumId="4">
    <w:nsid w:val="2E24867A"/>
    <w:multiLevelType w:val="singleLevel"/>
    <w:tmpl w:val="2E24867A"/>
    <w:lvl w:ilvl="0" w:tentative="0">
      <w:start w:val="1"/>
      <w:numFmt w:val="decimal"/>
      <w:suff w:val="nothing"/>
      <w:lvlText w:val="%1、"/>
      <w:lvlJc w:val="left"/>
    </w:lvl>
  </w:abstractNum>
  <w:abstractNum w:abstractNumId="5">
    <w:nsid w:val="6A034A31"/>
    <w:multiLevelType w:val="multilevel"/>
    <w:tmpl w:val="6A034A31"/>
    <w:lvl w:ilvl="0" w:tentative="0">
      <w:start w:val="1"/>
      <w:numFmt w:val="chineseCounting"/>
      <w:suff w:val="space"/>
      <w:lvlText w:val="第%1章"/>
      <w:lvlJc w:val="left"/>
      <w:rPr>
        <w:rFonts w:hint="default" w:ascii="Times New Roman" w:hAnsi="Times New Roman" w:cs="Times New Roman"/>
        <w:sz w:val="36"/>
        <w:szCs w:val="36"/>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01690"/>
    <w:rsid w:val="002707BA"/>
    <w:rsid w:val="005F1713"/>
    <w:rsid w:val="009F29BA"/>
    <w:rsid w:val="00AC296D"/>
    <w:rsid w:val="02C054C1"/>
    <w:rsid w:val="200D2B48"/>
    <w:rsid w:val="20E01690"/>
    <w:rsid w:val="268D0C01"/>
    <w:rsid w:val="4FF44AB0"/>
    <w:rsid w:val="5AA10B1E"/>
    <w:rsid w:val="65F7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9"/>
    <w:pPr>
      <w:keepNext/>
      <w:keepLines/>
      <w:spacing w:line="576" w:lineRule="auto"/>
      <w:outlineLvl w:val="0"/>
    </w:pPr>
    <w:rPr>
      <w:b/>
      <w:bCs/>
      <w:kern w:val="44"/>
      <w:sz w:val="44"/>
      <w:szCs w:val="44"/>
    </w:rPr>
  </w:style>
  <w:style w:type="paragraph" w:styleId="5">
    <w:name w:val="heading 2"/>
    <w:basedOn w:val="1"/>
    <w:next w:val="1"/>
    <w:qFormat/>
    <w:uiPriority w:val="9"/>
    <w:pPr>
      <w:keepNext/>
      <w:keepLines/>
      <w:spacing w:line="415"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kern w:val="0"/>
      <w:sz w:val="24"/>
      <w:szCs w:val="24"/>
    </w:rPr>
  </w:style>
  <w:style w:type="paragraph" w:styleId="3">
    <w:name w:val="Body Text 2"/>
    <w:basedOn w:val="1"/>
    <w:next w:val="2"/>
    <w:qFormat/>
    <w:uiPriority w:val="99"/>
    <w:pPr>
      <w:spacing w:before="100" w:beforeAutospacing="1" w:after="120" w:line="480" w:lineRule="auto"/>
    </w:pPr>
    <w:rPr>
      <w:kern w:val="0"/>
      <w:sz w:val="20"/>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ate"/>
    <w:basedOn w:val="1"/>
    <w:next w:val="1"/>
    <w:qFormat/>
    <w:uiPriority w:val="99"/>
    <w:rPr>
      <w:rFonts w:eastAsia="楷体_GB2312"/>
      <w:kern w:val="0"/>
      <w:sz w:val="24"/>
      <w:szCs w:val="24"/>
    </w:rPr>
  </w:style>
  <w:style w:type="paragraph" w:styleId="9">
    <w:name w:val="footer"/>
    <w:basedOn w:val="1"/>
    <w:qFormat/>
    <w:uiPriority w:val="0"/>
    <w:pPr>
      <w:snapToGrid w:val="0"/>
      <w:jc w:val="left"/>
    </w:pPr>
    <w:rPr>
      <w:kern w:val="0"/>
      <w:sz w:val="24"/>
      <w:szCs w:val="24"/>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39"/>
    <w:pPr>
      <w:spacing w:line="600" w:lineRule="exact"/>
      <w:jc w:val="left"/>
    </w:pPr>
    <w:rPr>
      <w:b/>
      <w:bCs/>
      <w:caps/>
      <w:sz w:val="20"/>
      <w:szCs w:val="20"/>
    </w:rPr>
  </w:style>
  <w:style w:type="paragraph" w:styleId="12">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13">
    <w:name w:val="Body Text First Indent"/>
    <w:basedOn w:val="2"/>
    <w:next w:val="1"/>
    <w:qFormat/>
    <w:uiPriority w:val="99"/>
    <w:pPr>
      <w:spacing w:after="120" w:line="240" w:lineRule="auto"/>
      <w:ind w:firstLine="420" w:firstLineChars="100"/>
    </w:pPr>
  </w:style>
  <w:style w:type="paragraph" w:styleId="14">
    <w:name w:val="Body Text First Indent 2"/>
    <w:basedOn w:val="6"/>
    <w:next w:val="13"/>
    <w:unhideWhenUsed/>
    <w:qFormat/>
    <w:uiPriority w:val="99"/>
    <w:pPr>
      <w:ind w:firstLine="420" w:firstLineChars="200"/>
    </w:pPr>
  </w:style>
  <w:style w:type="paragraph" w:customStyle="1" w:styleId="17">
    <w:name w:val="样式2"/>
    <w:basedOn w:val="1"/>
    <w:next w:val="1"/>
    <w:qFormat/>
    <w:uiPriority w:val="0"/>
    <w:pPr>
      <w:keepNext/>
      <w:keepLines/>
      <w:ind w:firstLine="643" w:firstLineChars="200"/>
      <w:jc w:val="left"/>
      <w:outlineLvl w:val="1"/>
    </w:pPr>
    <w:rPr>
      <w:rFonts w:hint="eastAsia" w:ascii="隶书" w:hAnsi="隶书"/>
      <w:b/>
      <w:color w:val="000000" w:themeColor="text1"/>
      <w:sz w:val="32"/>
      <w14:textFill>
        <w14:solidFill>
          <w14:schemeClr w14:val="tx1"/>
        </w14:solidFill>
      </w14:textFill>
    </w:rPr>
  </w:style>
  <w:style w:type="paragraph" w:customStyle="1" w:styleId="18">
    <w:name w:val="BodyTextIndent2"/>
    <w:basedOn w:val="1"/>
    <w:qFormat/>
    <w:uiPriority w:val="0"/>
    <w:pPr>
      <w:spacing w:after="120" w:line="480" w:lineRule="auto"/>
      <w:ind w:left="420" w:leftChars="200"/>
    </w:pPr>
  </w:style>
  <w:style w:type="paragraph" w:customStyle="1" w:styleId="19">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20">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Table Paragraph"/>
    <w:basedOn w:val="1"/>
    <w:qFormat/>
    <w:uiPriority w:val="1"/>
    <w:pPr>
      <w:autoSpaceDE w:val="0"/>
      <w:autoSpaceDN w:val="0"/>
      <w:spacing w:before="81"/>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Words>
  <Characters>6</Characters>
  <Lines>1</Lines>
  <Paragraphs>1</Paragraphs>
  <TotalTime>0</TotalTime>
  <ScaleCrop>false</ScaleCrop>
  <LinksUpToDate>false</LinksUpToDate>
  <CharactersWithSpaces>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2025-09-19T01:51:00Z</dcterms:created>
  <dc:creator>佳</dc:creator>
  <cp:lastModifiedBy>佳</cp:lastModifiedBy>
  <dcterms:modified xsi:type="dcterms:W3CDTF">2025-09-19T02:39:58Z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2E75D98750844E04B284E28C7B75BA19_13</vt:lpwstr>
  </property>
  <property fmtid="{D5CDD505-2E9C-101B-9397-08002B2CF9AE}" pid="4" name="KSOTemplateDocerSaveRecord">
    <vt:lpwstr>eyJoZGlkIjoiMjcyMjM5MTVkNjk0ZmI1OGJkMTliZGU3OTM2MzI1ZmMiLCJ1c2VySWQiOiIzMDEyNzA4NDUifQ==</vt:lpwstr>
  </property>
</Properties>
</file>