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2016A">
      <w:pPr>
        <w:rPr>
          <w:rFonts w:hint="eastAsia" w:ascii="宋体" w:hAnsi="宋体" w:eastAsia="宋体"/>
          <w:b/>
          <w:color w:val="auto"/>
          <w:sz w:val="28"/>
          <w:szCs w:val="28"/>
          <w:highlight w:val="none"/>
          <w:lang w:eastAsia="zh-CN"/>
        </w:rPr>
      </w:pPr>
      <w:bookmarkStart w:id="339" w:name="_GoBack"/>
      <w:bookmarkEnd w:id="339"/>
      <w:r>
        <w:rPr>
          <w:rFonts w:hint="eastAsia" w:ascii="宋体" w:hAnsi="宋体" w:eastAsia="宋体"/>
          <w:b/>
          <w:color w:val="auto"/>
          <w:sz w:val="28"/>
          <w:szCs w:val="28"/>
          <w:highlight w:val="none"/>
          <w:lang w:eastAsia="zh-CN"/>
        </w:rPr>
        <w:drawing>
          <wp:inline distT="0" distB="0" distL="114300" distR="114300">
            <wp:extent cx="6117590" cy="8641080"/>
            <wp:effectExtent l="0" t="0" r="16510" b="7620"/>
            <wp:docPr id="8" name="图片 8" descr="封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封皮"/>
                    <pic:cNvPicPr>
                      <a:picLocks noChangeAspect="1"/>
                    </pic:cNvPicPr>
                  </pic:nvPicPr>
                  <pic:blipFill>
                    <a:blip r:embed="rId10"/>
                    <a:stretch>
                      <a:fillRect/>
                    </a:stretch>
                  </pic:blipFill>
                  <pic:spPr>
                    <a:xfrm>
                      <a:off x="0" y="0"/>
                      <a:ext cx="6117590" cy="8641080"/>
                    </a:xfrm>
                    <a:prstGeom prst="rect">
                      <a:avLst/>
                    </a:prstGeom>
                  </pic:spPr>
                </pic:pic>
              </a:graphicData>
            </a:graphic>
          </wp:inline>
        </w:drawing>
      </w:r>
    </w:p>
    <w:p w14:paraId="0DCB07E2">
      <w:pPr>
        <w:pStyle w:val="2"/>
        <w:rPr>
          <w:rFonts w:hint="eastAsia"/>
          <w:color w:val="auto"/>
          <w:highlight w:val="none"/>
        </w:rPr>
      </w:pPr>
    </w:p>
    <w:p w14:paraId="662DA9E9">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71663744">
      <w:pPr>
        <w:spacing w:line="520" w:lineRule="exact"/>
        <w:jc w:val="center"/>
        <w:rPr>
          <w:rFonts w:hint="eastAsia" w:ascii="宋体" w:hAnsi="宋体"/>
          <w:b/>
          <w:color w:val="auto"/>
          <w:sz w:val="30"/>
          <w:szCs w:val="30"/>
          <w:highlight w:val="none"/>
        </w:rPr>
      </w:pPr>
      <w:r>
        <w:rPr>
          <w:rFonts w:hint="eastAsia" w:ascii="宋体" w:hAnsi="宋体"/>
          <w:b/>
          <w:color w:val="auto"/>
          <w:sz w:val="30"/>
          <w:szCs w:val="30"/>
          <w:highlight w:val="none"/>
        </w:rPr>
        <w:t>目   录</w:t>
      </w:r>
    </w:p>
    <w:p w14:paraId="29597C46">
      <w:pPr>
        <w:pStyle w:val="44"/>
        <w:tabs>
          <w:tab w:val="right" w:leader="dot" w:pos="8306"/>
        </w:tabs>
        <w:spacing w:line="600" w:lineRule="auto"/>
        <w:rPr>
          <w:rFonts w:hint="eastAsia" w:ascii="宋体" w:hAnsi="宋体"/>
          <w:b w:val="0"/>
          <w:bCs w:val="0"/>
          <w:iCs/>
          <w:color w:val="auto"/>
          <w:sz w:val="28"/>
          <w:szCs w:val="28"/>
          <w:highlight w:val="none"/>
        </w:rPr>
      </w:pPr>
    </w:p>
    <w:p w14:paraId="3E0C169A">
      <w:pPr>
        <w:pStyle w:val="44"/>
        <w:tabs>
          <w:tab w:val="right" w:leader="dot" w:pos="9642"/>
        </w:tabs>
        <w:spacing w:line="600" w:lineRule="auto"/>
        <w:rPr>
          <w:rFonts w:hint="eastAsia" w:ascii="宋体" w:hAnsi="宋体"/>
          <w:b w:val="0"/>
          <w:bCs w:val="0"/>
          <w:iCs/>
          <w:color w:val="auto"/>
          <w:sz w:val="28"/>
          <w:szCs w:val="28"/>
          <w:highlight w:val="none"/>
        </w:rPr>
      </w:pPr>
      <w:r>
        <w:rPr>
          <w:rFonts w:hint="eastAsia" w:ascii="宋体" w:hAnsi="宋体"/>
          <w:b w:val="0"/>
          <w:bCs w:val="0"/>
          <w:iCs/>
          <w:color w:val="auto"/>
          <w:sz w:val="28"/>
          <w:szCs w:val="28"/>
          <w:highlight w:val="none"/>
        </w:rPr>
        <w:fldChar w:fldCharType="begin"/>
      </w:r>
      <w:r>
        <w:rPr>
          <w:rFonts w:hint="eastAsia" w:ascii="宋体" w:hAnsi="宋体"/>
          <w:b w:val="0"/>
          <w:bCs w:val="0"/>
          <w:iCs/>
          <w:color w:val="auto"/>
          <w:sz w:val="28"/>
          <w:szCs w:val="28"/>
          <w:highlight w:val="none"/>
        </w:rPr>
        <w:instrText xml:space="preserve">TOC \o "1-1" \h \u </w:instrText>
      </w:r>
      <w:r>
        <w:rPr>
          <w:rFonts w:hint="eastAsia" w:ascii="宋体" w:hAnsi="宋体"/>
          <w:b w:val="0"/>
          <w:bCs w:val="0"/>
          <w:iCs/>
          <w:color w:val="auto"/>
          <w:sz w:val="28"/>
          <w:szCs w:val="28"/>
          <w:highlight w:val="none"/>
        </w:rPr>
        <w:fldChar w:fldCharType="separate"/>
      </w: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_Toc8997 </w:instrText>
      </w:r>
      <w:r>
        <w:rPr>
          <w:rFonts w:hint="eastAsia" w:ascii="宋体" w:hAnsi="宋体"/>
          <w:bCs w:val="0"/>
          <w:iCs/>
          <w:color w:val="auto"/>
          <w:sz w:val="28"/>
          <w:szCs w:val="28"/>
          <w:highlight w:val="none"/>
        </w:rPr>
        <w:fldChar w:fldCharType="separate"/>
      </w:r>
      <w:r>
        <w:rPr>
          <w:rFonts w:hint="eastAsia" w:ascii="宋体" w:hAnsi="宋体"/>
          <w:color w:val="auto"/>
          <w:sz w:val="28"/>
          <w:szCs w:val="28"/>
          <w:highlight w:val="none"/>
        </w:rPr>
        <w:t>第一章  竞争性磋商公告</w:t>
      </w:r>
      <w:r>
        <w:rPr>
          <w:rFonts w:hint="eastAsia" w:ascii="宋体" w:hAnsi="宋体"/>
          <w:color w:val="auto"/>
          <w:sz w:val="28"/>
          <w:szCs w:val="28"/>
          <w:highlight w:val="none"/>
        </w:rPr>
        <w:tab/>
      </w:r>
      <w:r>
        <w:rPr>
          <w:rFonts w:hint="eastAsia" w:ascii="宋体" w:hAnsi="宋体"/>
          <w:color w:val="auto"/>
          <w:sz w:val="28"/>
          <w:szCs w:val="28"/>
          <w:highlight w:val="none"/>
          <w:lang w:val="en-US" w:eastAsia="zh-CN"/>
        </w:rPr>
        <w:t>2</w:t>
      </w:r>
      <w:r>
        <w:rPr>
          <w:rFonts w:hint="eastAsia" w:ascii="宋体" w:hAnsi="宋体"/>
          <w:bCs w:val="0"/>
          <w:iCs/>
          <w:color w:val="auto"/>
          <w:sz w:val="28"/>
          <w:szCs w:val="28"/>
          <w:highlight w:val="none"/>
        </w:rPr>
        <w:fldChar w:fldCharType="end"/>
      </w:r>
    </w:p>
    <w:p w14:paraId="2CFDCB89">
      <w:pPr>
        <w:pStyle w:val="44"/>
        <w:tabs>
          <w:tab w:val="right" w:leader="dot" w:pos="9642"/>
        </w:tabs>
        <w:spacing w:line="600" w:lineRule="auto"/>
        <w:rPr>
          <w:rFonts w:hint="eastAsia" w:ascii="宋体" w:hAnsi="宋体"/>
          <w:bCs w:val="0"/>
          <w:iCs/>
          <w:color w:val="auto"/>
          <w:sz w:val="28"/>
          <w:szCs w:val="28"/>
          <w:highlight w:val="none"/>
        </w:rPr>
      </w:pP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_Toc20925 </w:instrText>
      </w:r>
      <w:r>
        <w:rPr>
          <w:rFonts w:hint="eastAsia" w:ascii="宋体" w:hAnsi="宋体"/>
          <w:bCs w:val="0"/>
          <w:iCs/>
          <w:color w:val="auto"/>
          <w:sz w:val="28"/>
          <w:szCs w:val="28"/>
          <w:highlight w:val="none"/>
        </w:rPr>
        <w:fldChar w:fldCharType="separate"/>
      </w:r>
      <w:r>
        <w:rPr>
          <w:rFonts w:hint="eastAsia" w:ascii="宋体" w:hAnsi="宋体"/>
          <w:color w:val="auto"/>
          <w:sz w:val="28"/>
          <w:szCs w:val="28"/>
          <w:highlight w:val="none"/>
        </w:rPr>
        <w:t>第二章  供应商须知</w:t>
      </w:r>
      <w:r>
        <w:rPr>
          <w:rFonts w:hint="eastAsia" w:ascii="宋体" w:hAnsi="宋体"/>
          <w:color w:val="auto"/>
          <w:sz w:val="28"/>
          <w:szCs w:val="28"/>
          <w:highlight w:val="none"/>
        </w:rPr>
        <w:tab/>
      </w: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PAGEREF _Toc20925 \h </w:instrText>
      </w:r>
      <w:r>
        <w:rPr>
          <w:rFonts w:hint="eastAsia" w:ascii="宋体" w:hAnsi="宋体"/>
          <w:color w:val="auto"/>
          <w:sz w:val="28"/>
          <w:szCs w:val="28"/>
          <w:highlight w:val="none"/>
        </w:rPr>
        <w:fldChar w:fldCharType="separate"/>
      </w:r>
      <w:r>
        <w:rPr>
          <w:rFonts w:hint="eastAsia" w:ascii="宋体" w:hAnsi="宋体"/>
          <w:color w:val="auto"/>
          <w:sz w:val="28"/>
          <w:szCs w:val="28"/>
          <w:highlight w:val="none"/>
        </w:rPr>
        <w:t>8</w:t>
      </w:r>
      <w:r>
        <w:rPr>
          <w:rFonts w:hint="eastAsia" w:ascii="宋体" w:hAnsi="宋体"/>
          <w:color w:val="auto"/>
          <w:sz w:val="28"/>
          <w:szCs w:val="28"/>
          <w:highlight w:val="none"/>
        </w:rPr>
        <w:fldChar w:fldCharType="end"/>
      </w:r>
      <w:r>
        <w:rPr>
          <w:rFonts w:hint="eastAsia" w:ascii="宋体" w:hAnsi="宋体"/>
          <w:bCs w:val="0"/>
          <w:iCs/>
          <w:color w:val="auto"/>
          <w:sz w:val="28"/>
          <w:szCs w:val="28"/>
          <w:highlight w:val="none"/>
        </w:rPr>
        <w:fldChar w:fldCharType="end"/>
      </w:r>
    </w:p>
    <w:p w14:paraId="69A2202B">
      <w:pPr>
        <w:pStyle w:val="44"/>
        <w:tabs>
          <w:tab w:val="right" w:leader="dot" w:pos="9642"/>
        </w:tabs>
        <w:spacing w:line="600" w:lineRule="auto"/>
        <w:rPr>
          <w:rFonts w:hint="eastAsia" w:ascii="宋体" w:hAnsi="宋体" w:eastAsia="宋体"/>
          <w:bCs w:val="0"/>
          <w:iCs/>
          <w:color w:val="auto"/>
          <w:sz w:val="28"/>
          <w:szCs w:val="28"/>
          <w:highlight w:val="none"/>
          <w:lang w:val="en-US" w:eastAsia="zh-CN"/>
        </w:rPr>
      </w:pP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_Toc203 </w:instrText>
      </w:r>
      <w:r>
        <w:rPr>
          <w:rFonts w:hint="eastAsia" w:ascii="宋体" w:hAnsi="宋体"/>
          <w:bCs w:val="0"/>
          <w:iCs/>
          <w:color w:val="auto"/>
          <w:sz w:val="28"/>
          <w:szCs w:val="28"/>
          <w:highlight w:val="none"/>
        </w:rPr>
        <w:fldChar w:fldCharType="separate"/>
      </w:r>
      <w:r>
        <w:rPr>
          <w:rFonts w:hint="eastAsia" w:ascii="宋体" w:hAnsi="宋体"/>
          <w:bCs w:val="0"/>
          <w:color w:val="auto"/>
          <w:sz w:val="28"/>
          <w:szCs w:val="28"/>
          <w:highlight w:val="none"/>
        </w:rPr>
        <w:t>第三章  磋商办法（综合评分法）</w:t>
      </w:r>
      <w:r>
        <w:rPr>
          <w:rFonts w:hint="eastAsia" w:ascii="宋体" w:hAnsi="宋体"/>
          <w:color w:val="auto"/>
          <w:sz w:val="28"/>
          <w:szCs w:val="28"/>
          <w:highlight w:val="none"/>
        </w:rPr>
        <w:tab/>
      </w:r>
      <w:r>
        <w:rPr>
          <w:rFonts w:hint="eastAsia" w:ascii="宋体" w:hAnsi="宋体"/>
          <w:color w:val="auto"/>
          <w:sz w:val="28"/>
          <w:szCs w:val="28"/>
          <w:highlight w:val="none"/>
          <w:lang w:val="en-US" w:eastAsia="zh-CN"/>
        </w:rPr>
        <w:t>1</w:t>
      </w:r>
      <w:r>
        <w:rPr>
          <w:rFonts w:hint="eastAsia" w:ascii="宋体" w:hAnsi="宋体"/>
          <w:bCs w:val="0"/>
          <w:iCs/>
          <w:color w:val="auto"/>
          <w:sz w:val="28"/>
          <w:szCs w:val="28"/>
          <w:highlight w:val="none"/>
        </w:rPr>
        <w:fldChar w:fldCharType="end"/>
      </w:r>
      <w:r>
        <w:rPr>
          <w:rFonts w:hint="eastAsia" w:ascii="宋体" w:hAnsi="宋体"/>
          <w:bCs w:val="0"/>
          <w:iCs/>
          <w:color w:val="auto"/>
          <w:sz w:val="28"/>
          <w:szCs w:val="28"/>
          <w:highlight w:val="none"/>
          <w:lang w:val="en-US" w:eastAsia="zh-CN"/>
        </w:rPr>
        <w:t>0</w:t>
      </w:r>
    </w:p>
    <w:p w14:paraId="45D30D30">
      <w:pPr>
        <w:pStyle w:val="44"/>
        <w:tabs>
          <w:tab w:val="right" w:leader="dot" w:pos="9642"/>
        </w:tabs>
        <w:spacing w:line="600" w:lineRule="auto"/>
        <w:rPr>
          <w:rFonts w:hint="eastAsia" w:ascii="宋体" w:hAnsi="宋体"/>
          <w:bCs w:val="0"/>
          <w:iCs/>
          <w:color w:val="auto"/>
          <w:sz w:val="28"/>
          <w:szCs w:val="28"/>
          <w:highlight w:val="none"/>
        </w:rPr>
      </w:pP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_Toc2898 </w:instrText>
      </w:r>
      <w:r>
        <w:rPr>
          <w:rFonts w:hint="eastAsia" w:ascii="宋体" w:hAnsi="宋体"/>
          <w:bCs w:val="0"/>
          <w:iCs/>
          <w:color w:val="auto"/>
          <w:sz w:val="28"/>
          <w:szCs w:val="28"/>
          <w:highlight w:val="none"/>
        </w:rPr>
        <w:fldChar w:fldCharType="separate"/>
      </w:r>
      <w:r>
        <w:rPr>
          <w:rFonts w:hint="eastAsia" w:ascii="宋体" w:hAnsi="宋体"/>
          <w:color w:val="auto"/>
          <w:sz w:val="28"/>
          <w:szCs w:val="28"/>
          <w:highlight w:val="none"/>
        </w:rPr>
        <w:t>第四章  合同条款及格式</w:t>
      </w:r>
      <w:r>
        <w:rPr>
          <w:rFonts w:hint="eastAsia" w:ascii="宋体" w:hAnsi="宋体"/>
          <w:color w:val="auto"/>
          <w:sz w:val="28"/>
          <w:szCs w:val="28"/>
          <w:highlight w:val="none"/>
        </w:rPr>
        <w:tab/>
      </w:r>
      <w:r>
        <w:rPr>
          <w:rFonts w:hint="eastAsia" w:ascii="宋体" w:hAnsi="宋体"/>
          <w:color w:val="auto"/>
          <w:sz w:val="28"/>
          <w:szCs w:val="28"/>
          <w:highlight w:val="none"/>
        </w:rPr>
        <w:t>3</w:t>
      </w:r>
      <w:r>
        <w:rPr>
          <w:rFonts w:hint="eastAsia" w:ascii="宋体" w:hAnsi="宋体"/>
          <w:bCs w:val="0"/>
          <w:iCs/>
          <w:color w:val="auto"/>
          <w:sz w:val="28"/>
          <w:szCs w:val="28"/>
          <w:highlight w:val="none"/>
        </w:rPr>
        <w:fldChar w:fldCharType="end"/>
      </w:r>
      <w:r>
        <w:rPr>
          <w:rFonts w:hint="eastAsia" w:ascii="宋体" w:hAnsi="宋体"/>
          <w:bCs w:val="0"/>
          <w:iCs/>
          <w:color w:val="auto"/>
          <w:sz w:val="28"/>
          <w:szCs w:val="28"/>
          <w:highlight w:val="none"/>
        </w:rPr>
        <w:t>3</w:t>
      </w:r>
    </w:p>
    <w:p w14:paraId="1236D3E5">
      <w:pPr>
        <w:pStyle w:val="44"/>
        <w:tabs>
          <w:tab w:val="right" w:leader="dot" w:pos="9642"/>
        </w:tabs>
        <w:spacing w:line="600" w:lineRule="auto"/>
        <w:rPr>
          <w:rFonts w:hint="eastAsia" w:ascii="宋体" w:hAnsi="宋体"/>
          <w:bCs w:val="0"/>
          <w:iCs/>
          <w:color w:val="auto"/>
          <w:sz w:val="28"/>
          <w:szCs w:val="28"/>
          <w:highlight w:val="none"/>
        </w:rPr>
      </w:pP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_Toc3092 </w:instrText>
      </w:r>
      <w:r>
        <w:rPr>
          <w:rFonts w:hint="eastAsia" w:ascii="宋体" w:hAnsi="宋体"/>
          <w:bCs w:val="0"/>
          <w:iCs/>
          <w:color w:val="auto"/>
          <w:sz w:val="28"/>
          <w:szCs w:val="28"/>
          <w:highlight w:val="none"/>
        </w:rPr>
        <w:fldChar w:fldCharType="separate"/>
      </w:r>
      <w:r>
        <w:rPr>
          <w:rFonts w:hint="eastAsia" w:ascii="宋体" w:hAnsi="宋体"/>
          <w:color w:val="auto"/>
          <w:sz w:val="28"/>
          <w:szCs w:val="28"/>
          <w:highlight w:val="none"/>
        </w:rPr>
        <w:t>第五章  采购内</w:t>
      </w:r>
      <w:bookmarkStart w:id="0" w:name="_Hlt191028809"/>
      <w:r>
        <w:rPr>
          <w:rFonts w:hint="eastAsia" w:ascii="宋体" w:hAnsi="宋体"/>
          <w:color w:val="auto"/>
          <w:sz w:val="28"/>
          <w:szCs w:val="28"/>
          <w:highlight w:val="none"/>
        </w:rPr>
        <w:t>容</w:t>
      </w:r>
      <w:bookmarkEnd w:id="0"/>
      <w:r>
        <w:rPr>
          <w:rFonts w:hint="eastAsia" w:ascii="宋体" w:hAnsi="宋体"/>
          <w:color w:val="auto"/>
          <w:sz w:val="28"/>
          <w:szCs w:val="28"/>
          <w:highlight w:val="none"/>
        </w:rPr>
        <w:t>及服务</w:t>
      </w:r>
      <w:bookmarkStart w:id="1" w:name="_Hlt191028742"/>
      <w:r>
        <w:rPr>
          <w:rFonts w:hint="eastAsia" w:ascii="宋体" w:hAnsi="宋体"/>
          <w:color w:val="auto"/>
          <w:sz w:val="28"/>
          <w:szCs w:val="28"/>
          <w:highlight w:val="none"/>
        </w:rPr>
        <w:t>要</w:t>
      </w:r>
      <w:bookmarkEnd w:id="1"/>
      <w:r>
        <w:rPr>
          <w:rFonts w:hint="eastAsia" w:ascii="宋体" w:hAnsi="宋体"/>
          <w:color w:val="auto"/>
          <w:sz w:val="28"/>
          <w:szCs w:val="28"/>
          <w:highlight w:val="none"/>
        </w:rPr>
        <w:t>求</w:t>
      </w:r>
      <w:r>
        <w:rPr>
          <w:rFonts w:hint="eastAsia" w:ascii="宋体" w:hAnsi="宋体"/>
          <w:color w:val="auto"/>
          <w:sz w:val="28"/>
          <w:szCs w:val="28"/>
          <w:highlight w:val="none"/>
        </w:rPr>
        <w:tab/>
      </w:r>
      <w:r>
        <w:rPr>
          <w:rFonts w:hint="eastAsia" w:ascii="宋体" w:hAnsi="宋体"/>
          <w:color w:val="auto"/>
          <w:sz w:val="28"/>
          <w:szCs w:val="28"/>
          <w:highlight w:val="none"/>
        </w:rPr>
        <w:t>3</w:t>
      </w:r>
      <w:r>
        <w:rPr>
          <w:rFonts w:hint="eastAsia" w:ascii="宋体" w:hAnsi="宋体"/>
          <w:bCs w:val="0"/>
          <w:iCs/>
          <w:color w:val="auto"/>
          <w:sz w:val="28"/>
          <w:szCs w:val="28"/>
          <w:highlight w:val="none"/>
        </w:rPr>
        <w:fldChar w:fldCharType="end"/>
      </w:r>
      <w:r>
        <w:rPr>
          <w:rFonts w:hint="eastAsia" w:ascii="宋体" w:hAnsi="宋体"/>
          <w:bCs w:val="0"/>
          <w:iCs/>
          <w:color w:val="auto"/>
          <w:sz w:val="28"/>
          <w:szCs w:val="28"/>
          <w:highlight w:val="none"/>
        </w:rPr>
        <w:t>6</w:t>
      </w:r>
    </w:p>
    <w:p w14:paraId="5013FE40">
      <w:pPr>
        <w:pStyle w:val="44"/>
        <w:tabs>
          <w:tab w:val="right" w:leader="dot" w:pos="9642"/>
        </w:tabs>
        <w:spacing w:line="600" w:lineRule="auto"/>
        <w:rPr>
          <w:rFonts w:hint="eastAsia" w:ascii="宋体" w:hAnsi="宋体" w:eastAsia="宋体"/>
          <w:bCs w:val="0"/>
          <w:iCs/>
          <w:color w:val="auto"/>
          <w:sz w:val="28"/>
          <w:szCs w:val="28"/>
          <w:highlight w:val="none"/>
          <w:lang w:val="en-US" w:eastAsia="zh-CN"/>
        </w:rPr>
      </w:pPr>
      <w:r>
        <w:rPr>
          <w:rFonts w:hint="eastAsia" w:ascii="宋体" w:hAnsi="宋体"/>
          <w:bCs w:val="0"/>
          <w:iCs/>
          <w:color w:val="auto"/>
          <w:sz w:val="28"/>
          <w:szCs w:val="28"/>
          <w:highlight w:val="none"/>
        </w:rPr>
        <w:fldChar w:fldCharType="begin"/>
      </w:r>
      <w:r>
        <w:rPr>
          <w:rFonts w:hint="eastAsia" w:ascii="宋体" w:hAnsi="宋体"/>
          <w:bCs w:val="0"/>
          <w:iCs/>
          <w:color w:val="auto"/>
          <w:sz w:val="28"/>
          <w:szCs w:val="28"/>
          <w:highlight w:val="none"/>
        </w:rPr>
        <w:instrText xml:space="preserve"> HYPERLINK \l _Toc12922 </w:instrText>
      </w:r>
      <w:r>
        <w:rPr>
          <w:rFonts w:hint="eastAsia" w:ascii="宋体" w:hAnsi="宋体"/>
          <w:bCs w:val="0"/>
          <w:iCs/>
          <w:color w:val="auto"/>
          <w:sz w:val="28"/>
          <w:szCs w:val="28"/>
          <w:highlight w:val="none"/>
        </w:rPr>
        <w:fldChar w:fldCharType="separate"/>
      </w:r>
      <w:r>
        <w:rPr>
          <w:rFonts w:hint="eastAsia" w:ascii="宋体" w:hAnsi="宋体"/>
          <w:color w:val="auto"/>
          <w:sz w:val="28"/>
          <w:szCs w:val="28"/>
          <w:highlight w:val="none"/>
        </w:rPr>
        <w:t>第六章  响应文件格式</w:t>
      </w:r>
      <w:r>
        <w:rPr>
          <w:rFonts w:hint="eastAsia" w:ascii="宋体" w:hAnsi="宋体"/>
          <w:color w:val="auto"/>
          <w:sz w:val="28"/>
          <w:szCs w:val="28"/>
          <w:highlight w:val="none"/>
        </w:rPr>
        <w:tab/>
      </w:r>
      <w:r>
        <w:rPr>
          <w:rFonts w:hint="eastAsia" w:ascii="宋体" w:hAnsi="宋体"/>
          <w:color w:val="auto"/>
          <w:sz w:val="28"/>
          <w:szCs w:val="28"/>
          <w:highlight w:val="none"/>
          <w:lang w:val="en-US" w:eastAsia="zh-CN"/>
        </w:rPr>
        <w:t>3</w:t>
      </w:r>
      <w:r>
        <w:rPr>
          <w:rFonts w:hint="eastAsia" w:ascii="宋体" w:hAnsi="宋体"/>
          <w:bCs w:val="0"/>
          <w:iCs/>
          <w:color w:val="auto"/>
          <w:sz w:val="28"/>
          <w:szCs w:val="28"/>
          <w:highlight w:val="none"/>
        </w:rPr>
        <w:fldChar w:fldCharType="end"/>
      </w:r>
      <w:r>
        <w:rPr>
          <w:rFonts w:hint="eastAsia" w:ascii="宋体" w:hAnsi="宋体"/>
          <w:bCs w:val="0"/>
          <w:iCs/>
          <w:color w:val="auto"/>
          <w:sz w:val="28"/>
          <w:szCs w:val="28"/>
          <w:highlight w:val="none"/>
          <w:lang w:val="en-US" w:eastAsia="zh-CN"/>
        </w:rPr>
        <w:t>7</w:t>
      </w:r>
    </w:p>
    <w:p w14:paraId="2DADAEE0">
      <w:pPr>
        <w:pStyle w:val="20"/>
        <w:spacing w:line="600" w:lineRule="auto"/>
        <w:rPr>
          <w:rFonts w:hint="eastAsia" w:ascii="宋体" w:hAnsi="宋体"/>
          <w:bCs w:val="0"/>
          <w:iCs/>
          <w:caps/>
          <w:color w:val="auto"/>
          <w:kern w:val="2"/>
          <w:sz w:val="28"/>
          <w:szCs w:val="28"/>
          <w:highlight w:val="none"/>
        </w:rPr>
        <w:sectPr>
          <w:headerReference r:id="rId3" w:type="default"/>
          <w:footerReference r:id="rId4" w:type="default"/>
          <w:pgSz w:w="11910" w:h="16840"/>
          <w:pgMar w:top="1134" w:right="1134" w:bottom="1134" w:left="1134" w:header="0" w:footer="712" w:gutter="0"/>
          <w:pgNumType w:start="1"/>
          <w:cols w:space="720" w:num="1"/>
          <w:docGrid w:linePitch="0" w:charSpace="0"/>
        </w:sectPr>
      </w:pPr>
    </w:p>
    <w:p w14:paraId="785FF4AE">
      <w:pPr>
        <w:pStyle w:val="20"/>
        <w:numPr>
          <w:ilvl w:val="0"/>
          <w:numId w:val="2"/>
        </w:numPr>
        <w:spacing w:before="120" w:after="120" w:line="240" w:lineRule="auto"/>
        <w:rPr>
          <w:rFonts w:hint="eastAsia" w:ascii="宋体" w:hAnsi="宋体"/>
          <w:bCs w:val="0"/>
          <w:iCs/>
          <w:caps/>
          <w:color w:val="auto"/>
          <w:kern w:val="2"/>
          <w:sz w:val="28"/>
          <w:szCs w:val="28"/>
          <w:highlight w:val="none"/>
        </w:rPr>
      </w:pPr>
      <w:r>
        <w:rPr>
          <w:rFonts w:hint="eastAsia" w:ascii="宋体" w:hAnsi="宋体"/>
          <w:bCs w:val="0"/>
          <w:iCs/>
          <w:caps/>
          <w:color w:val="auto"/>
          <w:kern w:val="2"/>
          <w:sz w:val="28"/>
          <w:szCs w:val="28"/>
          <w:highlight w:val="none"/>
        </w:rPr>
        <w:fldChar w:fldCharType="end"/>
      </w:r>
      <w:bookmarkStart w:id="2" w:name="_Toc137371860"/>
      <w:r>
        <w:rPr>
          <w:rFonts w:hint="eastAsia" w:ascii="宋体" w:hAnsi="宋体"/>
          <w:bCs w:val="0"/>
          <w:color w:val="auto"/>
          <w:kern w:val="2"/>
          <w:highlight w:val="none"/>
        </w:rPr>
        <w:t>、竞争性磋商公告</w:t>
      </w:r>
      <w:bookmarkEnd w:id="2"/>
    </w:p>
    <w:p w14:paraId="28FC3561">
      <w:pPr>
        <w:pStyle w:val="107"/>
        <w:rPr>
          <w:color w:val="auto"/>
          <w:highlight w:val="none"/>
        </w:rPr>
      </w:pPr>
      <w:r>
        <w:rPr>
          <w:color w:val="auto"/>
          <w:highlight w:val="none"/>
        </w:rPr>
        <w:t>窗体顶端</w:t>
      </w:r>
    </w:p>
    <w:p w14:paraId="7BAF6D4C">
      <w:pPr>
        <w:snapToGrid w:val="0"/>
        <w:spacing w:before="100" w:beforeAutospacing="1" w:after="100" w:afterAutospacing="1"/>
        <w:jc w:val="center"/>
        <w:rPr>
          <w:rFonts w:hint="eastAsia" w:ascii="宋体" w:hAnsi="宋体"/>
          <w:b/>
          <w:bCs/>
          <w:color w:val="auto"/>
          <w:kern w:val="44"/>
          <w:sz w:val="32"/>
          <w:szCs w:val="32"/>
          <w:highlight w:val="none"/>
        </w:rPr>
      </w:pPr>
      <w:r>
        <w:rPr>
          <w:rFonts w:hint="eastAsia" w:ascii="宋体" w:hAnsi="宋体"/>
          <w:b/>
          <w:bCs/>
          <w:color w:val="auto"/>
          <w:kern w:val="44"/>
          <w:sz w:val="32"/>
          <w:szCs w:val="32"/>
          <w:highlight w:val="none"/>
          <w:lang w:eastAsia="zh-CN"/>
        </w:rPr>
        <w:t>【平公资采20251181号】鲁山县自然资源局鲁山县地质灾害防治“十五五”规划项目</w:t>
      </w:r>
      <w:r>
        <w:rPr>
          <w:rFonts w:hint="eastAsia" w:ascii="宋体" w:hAnsi="宋体"/>
          <w:b/>
          <w:bCs/>
          <w:color w:val="auto"/>
          <w:kern w:val="44"/>
          <w:sz w:val="32"/>
          <w:szCs w:val="32"/>
          <w:highlight w:val="none"/>
        </w:rPr>
        <w:t>-竞争性磋商公告</w:t>
      </w:r>
    </w:p>
    <w:p w14:paraId="0AFF465A">
      <w:pPr>
        <w:widowControl/>
        <w:spacing w:line="520" w:lineRule="exact"/>
        <w:jc w:val="left"/>
        <w:rPr>
          <w:rFonts w:hint="eastAsia" w:ascii="宋体" w:hAnsi="宋体"/>
          <w:b/>
          <w:bCs/>
          <w:color w:val="auto"/>
          <w:sz w:val="24"/>
          <w:highlight w:val="none"/>
          <w:shd w:val="clear" w:color="auto" w:fill="FFFFFF"/>
          <w:lang w:bidi="ar"/>
        </w:rPr>
      </w:pPr>
      <w:r>
        <w:rPr>
          <w:rFonts w:hint="eastAsia" w:ascii="宋体" w:hAnsi="宋体"/>
          <w:b/>
          <w:bCs/>
          <w:color w:val="auto"/>
          <w:sz w:val="24"/>
          <w:highlight w:val="none"/>
          <w:shd w:val="clear" w:color="auto" w:fill="FFFFFF"/>
          <w:lang w:bidi="ar"/>
        </w:rPr>
        <w:t>项目概况</w:t>
      </w:r>
    </w:p>
    <w:p w14:paraId="47E4F145">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lang w:eastAsia="zh-CN"/>
        </w:rPr>
        <w:t>鲁山县自然资源局鲁山县地质灾害防治“十五五”规划项目</w:t>
      </w:r>
      <w:r>
        <w:rPr>
          <w:rFonts w:hint="eastAsia" w:ascii="宋体" w:hAnsi="宋体"/>
          <w:color w:val="auto"/>
          <w:sz w:val="24"/>
          <w:highlight w:val="none"/>
        </w:rPr>
        <w:t>的潜在投标人应在《全国公共资源交易平台（河南省·平顶山市）》获取招标文件，并于2025年</w:t>
      </w:r>
      <w:r>
        <w:rPr>
          <w:rFonts w:hint="eastAsia" w:ascii="宋体" w:hAnsi="宋体"/>
          <w:color w:val="auto"/>
          <w:sz w:val="24"/>
          <w:highlight w:val="none"/>
          <w:lang w:val="en-US" w:eastAsia="zh-CN"/>
        </w:rPr>
        <w:t>12</w:t>
      </w:r>
      <w:r>
        <w:rPr>
          <w:rFonts w:hint="eastAsia" w:ascii="宋体" w:hAnsi="宋体"/>
          <w:color w:val="auto"/>
          <w:sz w:val="24"/>
          <w:highlight w:val="none"/>
        </w:rPr>
        <w:t>月</w:t>
      </w:r>
      <w:r>
        <w:rPr>
          <w:rFonts w:hint="eastAsia" w:ascii="宋体" w:hAnsi="宋体"/>
          <w:color w:val="auto"/>
          <w:sz w:val="24"/>
          <w:highlight w:val="none"/>
          <w:lang w:val="en-US" w:eastAsia="zh-CN"/>
        </w:rPr>
        <w:t>22</w:t>
      </w:r>
      <w:r>
        <w:rPr>
          <w:rFonts w:hint="eastAsia" w:ascii="宋体" w:hAnsi="宋体"/>
          <w:color w:val="auto"/>
          <w:sz w:val="24"/>
          <w:highlight w:val="none"/>
        </w:rPr>
        <w:t>日</w:t>
      </w:r>
      <w:r>
        <w:rPr>
          <w:rFonts w:hint="eastAsia" w:ascii="宋体" w:hAnsi="宋体"/>
          <w:color w:val="auto"/>
          <w:sz w:val="24"/>
          <w:highlight w:val="none"/>
          <w:lang w:val="en-US" w:eastAsia="zh-CN"/>
        </w:rPr>
        <w:t>08</w:t>
      </w:r>
      <w:r>
        <w:rPr>
          <w:rFonts w:hint="eastAsia" w:ascii="宋体" w:hAnsi="宋体"/>
          <w:color w:val="auto"/>
          <w:sz w:val="24"/>
          <w:highlight w:val="none"/>
        </w:rPr>
        <w:t>时</w:t>
      </w:r>
      <w:r>
        <w:rPr>
          <w:rFonts w:hint="eastAsia" w:ascii="宋体" w:hAnsi="宋体"/>
          <w:color w:val="auto"/>
          <w:sz w:val="24"/>
          <w:highlight w:val="none"/>
          <w:lang w:val="en-US" w:eastAsia="zh-CN"/>
        </w:rPr>
        <w:t>4</w:t>
      </w:r>
      <w:r>
        <w:rPr>
          <w:rFonts w:hint="eastAsia" w:ascii="宋体" w:hAnsi="宋体"/>
          <w:color w:val="auto"/>
          <w:sz w:val="24"/>
          <w:highlight w:val="none"/>
        </w:rPr>
        <w:t>0分（北京时间）前递交响应文件。</w:t>
      </w:r>
    </w:p>
    <w:p w14:paraId="399F28BF">
      <w:pPr>
        <w:spacing w:before="8" w:line="360" w:lineRule="auto"/>
        <w:rPr>
          <w:rFonts w:hint="eastAsia" w:ascii="宋体" w:hAnsi="宋体"/>
          <w:b/>
          <w:bCs/>
          <w:color w:val="auto"/>
          <w:sz w:val="24"/>
          <w:highlight w:val="none"/>
        </w:rPr>
      </w:pPr>
      <w:r>
        <w:rPr>
          <w:rFonts w:hint="eastAsia" w:ascii="宋体" w:hAnsi="宋体"/>
          <w:b/>
          <w:bCs/>
          <w:color w:val="auto"/>
          <w:sz w:val="24"/>
          <w:highlight w:val="none"/>
        </w:rPr>
        <w:t>一、项目基本情况</w:t>
      </w:r>
    </w:p>
    <w:p w14:paraId="7B294D2F">
      <w:pPr>
        <w:spacing w:line="360" w:lineRule="auto"/>
        <w:ind w:firstLine="480" w:firstLineChars="200"/>
        <w:jc w:val="left"/>
        <w:rPr>
          <w:rFonts w:hint="default" w:ascii="宋体" w:hAnsi="宋体" w:eastAsia="宋体"/>
          <w:color w:val="auto"/>
          <w:sz w:val="24"/>
          <w:highlight w:val="none"/>
          <w:lang w:val="en-US" w:eastAsia="zh-CN"/>
        </w:rPr>
      </w:pPr>
      <w:r>
        <w:rPr>
          <w:rFonts w:hint="eastAsia" w:ascii="宋体" w:hAnsi="宋体"/>
          <w:color w:val="auto"/>
          <w:sz w:val="24"/>
          <w:highlight w:val="none"/>
        </w:rPr>
        <w:t>1.项目编号：鲁采磋商-202</w:t>
      </w:r>
      <w:r>
        <w:rPr>
          <w:rFonts w:hint="eastAsia" w:ascii="宋体" w:hAnsi="宋体"/>
          <w:color w:val="auto"/>
          <w:sz w:val="24"/>
          <w:highlight w:val="none"/>
          <w:lang w:val="en-US" w:eastAsia="zh-CN"/>
        </w:rPr>
        <w:t>5</w:t>
      </w:r>
      <w:r>
        <w:rPr>
          <w:rFonts w:hint="eastAsia" w:ascii="宋体" w:hAnsi="宋体"/>
          <w:color w:val="auto"/>
          <w:sz w:val="24"/>
          <w:highlight w:val="none"/>
        </w:rPr>
        <w:t>-</w:t>
      </w:r>
      <w:r>
        <w:rPr>
          <w:rFonts w:hint="eastAsia" w:ascii="宋体" w:hAnsi="宋体"/>
          <w:color w:val="auto"/>
          <w:sz w:val="24"/>
          <w:highlight w:val="none"/>
          <w:lang w:val="en-US" w:eastAsia="zh-CN"/>
        </w:rPr>
        <w:t>191</w:t>
      </w:r>
    </w:p>
    <w:p w14:paraId="3882DA58">
      <w:pPr>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2.项目名称：</w:t>
      </w:r>
      <w:r>
        <w:rPr>
          <w:rFonts w:hint="eastAsia" w:ascii="宋体" w:hAnsi="宋体"/>
          <w:color w:val="auto"/>
          <w:sz w:val="24"/>
          <w:highlight w:val="none"/>
          <w:lang w:eastAsia="zh-CN"/>
        </w:rPr>
        <w:t>鲁山县自然资源局鲁山县地质灾害防治“十五五”规划项目</w:t>
      </w:r>
    </w:p>
    <w:p w14:paraId="3A3CF2A1">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3.采购方式：竞争性磋商</w:t>
      </w:r>
    </w:p>
    <w:p w14:paraId="51BCA925">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4.预算金额：</w:t>
      </w:r>
      <w:r>
        <w:rPr>
          <w:rFonts w:hint="eastAsia" w:ascii="宋体" w:hAnsi="宋体"/>
          <w:color w:val="auto"/>
          <w:sz w:val="24"/>
          <w:highlight w:val="none"/>
          <w:shd w:val="clear" w:color="auto" w:fill="FFFFFF"/>
          <w:lang w:val="en-US" w:eastAsia="zh-CN" w:bidi="ar"/>
        </w:rPr>
        <w:t>350000</w:t>
      </w:r>
      <w:r>
        <w:rPr>
          <w:rFonts w:hint="eastAsia" w:ascii="宋体" w:hAnsi="宋体"/>
          <w:color w:val="auto"/>
          <w:sz w:val="24"/>
          <w:highlight w:val="none"/>
          <w:shd w:val="clear" w:color="auto" w:fill="FFFFFF"/>
          <w:lang w:bidi="ar"/>
        </w:rPr>
        <w:t>.00元,</w:t>
      </w:r>
      <w:bookmarkStart w:id="3" w:name="_Hlk86225832"/>
      <w:r>
        <w:rPr>
          <w:rFonts w:hint="eastAsia" w:ascii="宋体" w:hAnsi="宋体"/>
          <w:color w:val="auto"/>
          <w:sz w:val="24"/>
          <w:highlight w:val="none"/>
          <w:shd w:val="clear" w:color="auto" w:fill="FFFFFF"/>
          <w:lang w:bidi="ar"/>
        </w:rPr>
        <w:t>最高限价：</w:t>
      </w:r>
      <w:r>
        <w:rPr>
          <w:rFonts w:hint="eastAsia" w:ascii="宋体" w:hAnsi="宋体"/>
          <w:color w:val="auto"/>
          <w:sz w:val="24"/>
          <w:highlight w:val="none"/>
          <w:shd w:val="clear" w:color="auto" w:fill="FFFFFF"/>
          <w:lang w:val="en-US" w:eastAsia="zh-CN" w:bidi="ar"/>
        </w:rPr>
        <w:t>350000</w:t>
      </w:r>
      <w:r>
        <w:rPr>
          <w:rFonts w:hint="eastAsia" w:ascii="宋体" w:hAnsi="宋体"/>
          <w:color w:val="auto"/>
          <w:sz w:val="24"/>
          <w:highlight w:val="none"/>
          <w:shd w:val="clear" w:color="auto" w:fill="FFFFFF"/>
          <w:lang w:bidi="ar"/>
        </w:rPr>
        <w:t>.00元</w:t>
      </w:r>
      <w:bookmarkEnd w:id="3"/>
      <w:r>
        <w:rPr>
          <w:rFonts w:hint="eastAsia" w:ascii="宋体" w:hAnsi="宋体"/>
          <w:color w:val="auto"/>
          <w:sz w:val="24"/>
          <w:highlight w:val="none"/>
          <w:shd w:val="clear" w:color="auto" w:fill="FFFFFF"/>
          <w:lang w:bidi="ar"/>
        </w:rPr>
        <w:t>；</w:t>
      </w:r>
    </w:p>
    <w:tbl>
      <w:tblPr>
        <w:tblStyle w:val="8"/>
        <w:tblW w:w="9378"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96"/>
        <w:gridCol w:w="2211"/>
        <w:gridCol w:w="1425"/>
        <w:gridCol w:w="1455"/>
        <w:gridCol w:w="1686"/>
        <w:gridCol w:w="1449"/>
      </w:tblGrid>
      <w:tr w14:paraId="1967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56" w:type="dxa"/>
            <w:vAlign w:val="center"/>
          </w:tcPr>
          <w:p w14:paraId="1CBB3C65">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序号</w:t>
            </w:r>
          </w:p>
        </w:tc>
        <w:tc>
          <w:tcPr>
            <w:tcW w:w="696" w:type="dxa"/>
            <w:vAlign w:val="center"/>
          </w:tcPr>
          <w:p w14:paraId="5C084508">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包号</w:t>
            </w:r>
          </w:p>
        </w:tc>
        <w:tc>
          <w:tcPr>
            <w:tcW w:w="2211" w:type="dxa"/>
            <w:vAlign w:val="center"/>
          </w:tcPr>
          <w:p w14:paraId="49C39BD5">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包名称</w:t>
            </w:r>
          </w:p>
        </w:tc>
        <w:tc>
          <w:tcPr>
            <w:tcW w:w="1425" w:type="dxa"/>
            <w:vAlign w:val="center"/>
          </w:tcPr>
          <w:p w14:paraId="766E93AA">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包预算（元）</w:t>
            </w:r>
          </w:p>
        </w:tc>
        <w:tc>
          <w:tcPr>
            <w:tcW w:w="1455" w:type="dxa"/>
            <w:vAlign w:val="center"/>
          </w:tcPr>
          <w:p w14:paraId="64A2D842">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包最高限价（元）</w:t>
            </w:r>
          </w:p>
        </w:tc>
        <w:tc>
          <w:tcPr>
            <w:tcW w:w="1686" w:type="dxa"/>
            <w:vAlign w:val="center"/>
          </w:tcPr>
          <w:p w14:paraId="06A7E66F">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是否专门面向中小企业</w:t>
            </w:r>
          </w:p>
        </w:tc>
        <w:tc>
          <w:tcPr>
            <w:tcW w:w="1449" w:type="dxa"/>
            <w:vAlign w:val="center"/>
          </w:tcPr>
          <w:p w14:paraId="7D4D2609">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采购预留金额（元）</w:t>
            </w:r>
          </w:p>
        </w:tc>
      </w:tr>
      <w:tr w14:paraId="1073E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trPr>
        <w:tc>
          <w:tcPr>
            <w:tcW w:w="456" w:type="dxa"/>
            <w:vAlign w:val="center"/>
          </w:tcPr>
          <w:p w14:paraId="385E9466">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1</w:t>
            </w:r>
          </w:p>
        </w:tc>
        <w:tc>
          <w:tcPr>
            <w:tcW w:w="696" w:type="dxa"/>
            <w:vAlign w:val="center"/>
          </w:tcPr>
          <w:p w14:paraId="723DC0EA">
            <w:pPr>
              <w:snapToGrid w:val="0"/>
              <w:spacing w:before="100" w:beforeAutospacing="1" w:after="100" w:afterAutospacing="1"/>
              <w:jc w:val="center"/>
              <w:rPr>
                <w:rFonts w:ascii="宋体" w:hAnsi="宋体" w:eastAsia="宋体"/>
                <w:color w:val="auto"/>
                <w:szCs w:val="21"/>
                <w:highlight w:val="none"/>
              </w:rPr>
            </w:pPr>
            <w:r>
              <w:rPr>
                <w:rFonts w:ascii="宋体" w:hAnsi="宋体" w:eastAsia="宋体"/>
                <w:color w:val="auto"/>
                <w:szCs w:val="21"/>
                <w:highlight w:val="none"/>
              </w:rPr>
              <w:t>1</w:t>
            </w:r>
          </w:p>
        </w:tc>
        <w:tc>
          <w:tcPr>
            <w:tcW w:w="2211" w:type="dxa"/>
            <w:vAlign w:val="center"/>
          </w:tcPr>
          <w:p w14:paraId="2B715AFC">
            <w:pPr>
              <w:spacing w:line="360" w:lineRule="auto"/>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鲁山县自然资源局鲁山县地质灾害防治“十五五”规划项目</w:t>
            </w:r>
          </w:p>
        </w:tc>
        <w:tc>
          <w:tcPr>
            <w:tcW w:w="1425" w:type="dxa"/>
            <w:vAlign w:val="center"/>
          </w:tcPr>
          <w:p w14:paraId="7BBF5449">
            <w:pPr>
              <w:snapToGrid w:val="0"/>
              <w:spacing w:before="100" w:beforeAutospacing="1" w:after="100" w:afterAutospacing="1"/>
              <w:jc w:val="center"/>
              <w:rPr>
                <w:rFonts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val="en-US" w:eastAsia="zh-CN" w:bidi="ar"/>
              </w:rPr>
              <w:t>350000</w:t>
            </w:r>
            <w:r>
              <w:rPr>
                <w:rFonts w:ascii="宋体" w:hAnsi="宋体"/>
                <w:color w:val="auto"/>
                <w:sz w:val="24"/>
                <w:highlight w:val="none"/>
                <w:shd w:val="clear" w:color="auto" w:fill="FFFFFF"/>
                <w:lang w:bidi="ar"/>
              </w:rPr>
              <w:t>.00</w:t>
            </w:r>
            <w:r>
              <w:rPr>
                <w:rFonts w:ascii="宋体" w:hAnsi="宋体" w:eastAsia="宋体"/>
                <w:color w:val="auto"/>
                <w:sz w:val="24"/>
                <w:highlight w:val="none"/>
              </w:rPr>
              <w:t xml:space="preserve"> </w:t>
            </w:r>
          </w:p>
        </w:tc>
        <w:tc>
          <w:tcPr>
            <w:tcW w:w="1455" w:type="dxa"/>
            <w:vAlign w:val="center"/>
          </w:tcPr>
          <w:p w14:paraId="472A981E">
            <w:pPr>
              <w:snapToGrid w:val="0"/>
              <w:spacing w:before="100" w:beforeAutospacing="1" w:after="100" w:afterAutospacing="1"/>
              <w:jc w:val="center"/>
              <w:rPr>
                <w:rFonts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val="en-US" w:eastAsia="zh-CN" w:bidi="ar"/>
              </w:rPr>
              <w:t>350000</w:t>
            </w:r>
            <w:r>
              <w:rPr>
                <w:rFonts w:ascii="宋体" w:hAnsi="宋体"/>
                <w:color w:val="auto"/>
                <w:sz w:val="24"/>
                <w:highlight w:val="none"/>
                <w:shd w:val="clear" w:color="auto" w:fill="FFFFFF"/>
                <w:lang w:bidi="ar"/>
              </w:rPr>
              <w:t>.00</w:t>
            </w:r>
            <w:r>
              <w:rPr>
                <w:rFonts w:ascii="宋体" w:hAnsi="宋体" w:eastAsia="宋体"/>
                <w:color w:val="auto"/>
                <w:sz w:val="24"/>
                <w:highlight w:val="none"/>
              </w:rPr>
              <w:t xml:space="preserve"> </w:t>
            </w:r>
          </w:p>
        </w:tc>
        <w:tc>
          <w:tcPr>
            <w:tcW w:w="1686" w:type="dxa"/>
            <w:vAlign w:val="center"/>
          </w:tcPr>
          <w:p w14:paraId="00E7A9ED">
            <w:pPr>
              <w:snapToGrid w:val="0"/>
              <w:spacing w:before="100" w:beforeAutospacing="1" w:after="100" w:afterAutospacing="1"/>
              <w:jc w:val="center"/>
              <w:rPr>
                <w:rFonts w:ascii="宋体" w:hAnsi="宋体" w:eastAsia="宋体"/>
                <w:color w:val="auto"/>
                <w:sz w:val="24"/>
                <w:highlight w:val="none"/>
              </w:rPr>
            </w:pPr>
            <w:r>
              <w:rPr>
                <w:rFonts w:ascii="宋体" w:hAnsi="宋体" w:eastAsia="宋体"/>
                <w:color w:val="auto"/>
                <w:sz w:val="24"/>
                <w:highlight w:val="none"/>
              </w:rPr>
              <w:t>是</w:t>
            </w:r>
          </w:p>
        </w:tc>
        <w:tc>
          <w:tcPr>
            <w:tcW w:w="1449" w:type="dxa"/>
            <w:vAlign w:val="center"/>
          </w:tcPr>
          <w:p w14:paraId="1FAEDA22">
            <w:pPr>
              <w:snapToGrid w:val="0"/>
              <w:spacing w:before="100" w:beforeAutospacing="1" w:after="100" w:afterAutospacing="1"/>
              <w:jc w:val="center"/>
              <w:rPr>
                <w:rFonts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val="en-US" w:eastAsia="zh-CN" w:bidi="ar"/>
              </w:rPr>
              <w:t>350000</w:t>
            </w:r>
            <w:r>
              <w:rPr>
                <w:rFonts w:ascii="宋体" w:hAnsi="宋体"/>
                <w:color w:val="auto"/>
                <w:sz w:val="24"/>
                <w:highlight w:val="none"/>
                <w:shd w:val="clear" w:color="auto" w:fill="FFFFFF"/>
                <w:lang w:bidi="ar"/>
              </w:rPr>
              <w:t>.00</w:t>
            </w:r>
            <w:r>
              <w:rPr>
                <w:rFonts w:ascii="宋体" w:hAnsi="宋体" w:eastAsia="宋体"/>
                <w:color w:val="auto"/>
                <w:sz w:val="24"/>
                <w:highlight w:val="none"/>
              </w:rPr>
              <w:t xml:space="preserve"> </w:t>
            </w:r>
          </w:p>
        </w:tc>
      </w:tr>
    </w:tbl>
    <w:p w14:paraId="59DCB77E">
      <w:pPr>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w:t>
      </w:r>
      <w:r>
        <w:rPr>
          <w:rFonts w:hint="eastAsia" w:ascii="宋体" w:hAnsi="宋体"/>
          <w:color w:val="auto"/>
          <w:sz w:val="24"/>
          <w:highlight w:val="none"/>
        </w:rPr>
        <w:t>采购需求：（包括但不限于标的的名称、数量、简要技术需求或服务要求等）</w:t>
      </w:r>
    </w:p>
    <w:p w14:paraId="101534F2">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5.1采购内容：鲁山县地质灾害防治“十五五”规划项目，按现行的国家、省、市相关技术规范、标准及行业要求编制鲁山县地质灾害防治“十五五”规划（2026-2030年）文本、编制（修编）说明、规划附表、规划图件、数据库建设等。</w:t>
      </w:r>
    </w:p>
    <w:p w14:paraId="51FBAD0C">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5.2资金来源：</w:t>
      </w:r>
      <w:bookmarkStart w:id="4" w:name="_Hlk86226493"/>
      <w:r>
        <w:rPr>
          <w:rFonts w:hint="eastAsia" w:ascii="宋体" w:hAnsi="宋体"/>
          <w:color w:val="auto"/>
          <w:sz w:val="24"/>
          <w:highlight w:val="none"/>
        </w:rPr>
        <w:t>财政资金，已落实</w:t>
      </w:r>
      <w:bookmarkEnd w:id="4"/>
      <w:r>
        <w:rPr>
          <w:rFonts w:hint="eastAsia" w:ascii="宋体" w:hAnsi="宋体"/>
          <w:color w:val="auto"/>
          <w:sz w:val="24"/>
          <w:highlight w:val="none"/>
        </w:rPr>
        <w:t>；</w:t>
      </w:r>
    </w:p>
    <w:p w14:paraId="3C5438B0">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5.3服务要求：</w:t>
      </w:r>
      <w:bookmarkStart w:id="5" w:name="OLE_LINK11"/>
      <w:r>
        <w:rPr>
          <w:rFonts w:hint="eastAsia" w:ascii="宋体" w:hAnsi="宋体"/>
          <w:color w:val="auto"/>
          <w:sz w:val="24"/>
          <w:highlight w:val="none"/>
        </w:rPr>
        <w:t>符合国家、省、市相关规范、规定等技术要求，满足磋商文件及采购人要求</w:t>
      </w:r>
      <w:bookmarkEnd w:id="5"/>
      <w:r>
        <w:rPr>
          <w:rFonts w:hint="eastAsia" w:ascii="宋体" w:hAnsi="宋体"/>
          <w:color w:val="auto"/>
          <w:sz w:val="24"/>
          <w:highlight w:val="none"/>
        </w:rPr>
        <w:t>；</w:t>
      </w:r>
    </w:p>
    <w:p w14:paraId="67DC26D8">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5.4服务期限：</w:t>
      </w:r>
      <w:bookmarkStart w:id="6" w:name="OLE_LINK14"/>
      <w:r>
        <w:rPr>
          <w:rFonts w:hint="eastAsia" w:ascii="宋体" w:hAnsi="宋体"/>
          <w:color w:val="auto"/>
          <w:sz w:val="24"/>
          <w:highlight w:val="none"/>
          <w:shd w:val="clear" w:color="auto" w:fill="FFFFFF"/>
          <w:lang w:bidi="ar"/>
        </w:rPr>
        <w:t>自合同签订之日起</w:t>
      </w:r>
      <w:r>
        <w:rPr>
          <w:rFonts w:hint="eastAsia" w:ascii="宋体" w:hAnsi="宋体"/>
          <w:color w:val="auto"/>
          <w:sz w:val="24"/>
          <w:highlight w:val="none"/>
        </w:rPr>
        <w:t>6个月</w:t>
      </w:r>
      <w:r>
        <w:rPr>
          <w:rFonts w:hint="eastAsia" w:ascii="宋体" w:hAnsi="宋体"/>
          <w:color w:val="auto"/>
          <w:sz w:val="24"/>
          <w:highlight w:val="none"/>
          <w:shd w:val="clear" w:color="auto" w:fill="FFFFFF"/>
          <w:lang w:bidi="ar"/>
        </w:rPr>
        <w:t>；</w:t>
      </w:r>
      <w:bookmarkEnd w:id="6"/>
    </w:p>
    <w:p w14:paraId="7A379F1B">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5.5项目地点：鲁山县；</w:t>
      </w:r>
    </w:p>
    <w:p w14:paraId="18162C39">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5.6.标段划分：本项目共划分1个标段；</w:t>
      </w:r>
    </w:p>
    <w:p w14:paraId="0A77EC97">
      <w:pPr>
        <w:pStyle w:val="51"/>
        <w:ind w:firstLine="480" w:firstLineChars="200"/>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5.7采购范围</w:t>
      </w:r>
      <w:r>
        <w:rPr>
          <w:rFonts w:hint="eastAsia"/>
          <w:color w:val="auto"/>
          <w:highlight w:val="none"/>
        </w:rPr>
        <w:t>：</w:t>
      </w:r>
      <w:r>
        <w:rPr>
          <w:rFonts w:hint="eastAsia"/>
          <w:color w:val="auto"/>
          <w:sz w:val="24"/>
          <w:highlight w:val="none"/>
        </w:rPr>
        <w:t>采购人发包的全部内容。（详见竞争性磋商文件）；</w:t>
      </w:r>
    </w:p>
    <w:p w14:paraId="679A7381">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6.合同履行期限：同“服务期限”；</w:t>
      </w:r>
    </w:p>
    <w:p w14:paraId="1F672AAE">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7.本项目是否接受联合体投标：否；</w:t>
      </w:r>
    </w:p>
    <w:p w14:paraId="263CAE07">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8.是否接受进口产品：否；</w:t>
      </w:r>
    </w:p>
    <w:p w14:paraId="3BEDCF98">
      <w:pPr>
        <w:widowControl/>
        <w:spacing w:line="360" w:lineRule="auto"/>
        <w:ind w:firstLine="480" w:firstLineChars="200"/>
        <w:jc w:val="left"/>
        <w:rPr>
          <w:rFonts w:hint="eastAsia" w:ascii="宋体" w:hAnsi="宋体"/>
          <w:color w:val="auto"/>
          <w:sz w:val="24"/>
          <w:highlight w:val="none"/>
          <w:shd w:val="clear" w:color="auto" w:fill="FFFFFF"/>
          <w:lang w:bidi="ar"/>
        </w:rPr>
      </w:pPr>
      <w:r>
        <w:rPr>
          <w:rFonts w:hint="eastAsia" w:ascii="宋体" w:hAnsi="宋体"/>
          <w:color w:val="auto"/>
          <w:sz w:val="24"/>
          <w:highlight w:val="none"/>
          <w:shd w:val="clear" w:color="auto" w:fill="FFFFFF"/>
          <w:lang w:bidi="ar"/>
        </w:rPr>
        <w:t>9.是否专门面向中小企业：是</w:t>
      </w:r>
    </w:p>
    <w:p w14:paraId="26C95BA9">
      <w:pPr>
        <w:spacing w:before="8" w:line="360" w:lineRule="auto"/>
        <w:rPr>
          <w:rFonts w:hint="eastAsia" w:ascii="宋体" w:hAnsi="宋体"/>
          <w:b/>
          <w:bCs/>
          <w:color w:val="auto"/>
          <w:sz w:val="24"/>
          <w:highlight w:val="none"/>
        </w:rPr>
      </w:pPr>
      <w:r>
        <w:rPr>
          <w:rFonts w:hint="eastAsia" w:ascii="宋体" w:hAnsi="宋体"/>
          <w:b/>
          <w:bCs/>
          <w:color w:val="auto"/>
          <w:sz w:val="24"/>
          <w:highlight w:val="none"/>
        </w:rPr>
        <w:t>二、申请人资格要求：</w:t>
      </w:r>
    </w:p>
    <w:p w14:paraId="4DE709B2">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1.符合《中华人民共和国政府采购法》第二十二条之规定。</w:t>
      </w:r>
    </w:p>
    <w:p w14:paraId="43CB9189">
      <w:pPr>
        <w:spacing w:line="360" w:lineRule="auto"/>
        <w:ind w:firstLine="480" w:firstLineChars="200"/>
        <w:jc w:val="left"/>
        <w:rPr>
          <w:rFonts w:hint="eastAsia" w:ascii="宋体" w:hAnsi="宋体"/>
          <w:color w:val="auto"/>
          <w:sz w:val="24"/>
          <w:highlight w:val="none"/>
          <w:shd w:val="clear" w:color="auto" w:fill="FFFFFF"/>
        </w:rPr>
      </w:pPr>
      <w:bookmarkStart w:id="7" w:name="_Toc22748"/>
      <w:r>
        <w:rPr>
          <w:rFonts w:hint="eastAsia" w:ascii="宋体" w:hAnsi="宋体"/>
          <w:color w:val="auto"/>
          <w:sz w:val="24"/>
          <w:highlight w:val="none"/>
          <w:shd w:val="clear" w:color="auto" w:fill="FFFFFF"/>
        </w:rPr>
        <w:t>2.落实政府采购政策满足的资格要求：</w:t>
      </w:r>
      <w:bookmarkEnd w:id="7"/>
      <w:r>
        <w:rPr>
          <w:rFonts w:hint="eastAsia" w:ascii="宋体" w:hAnsi="宋体"/>
          <w:color w:val="auto"/>
          <w:sz w:val="24"/>
          <w:highlight w:val="none"/>
          <w:shd w:val="clear" w:color="auto" w:fill="FFFFFF"/>
        </w:rPr>
        <w:t>根据《政府采购促进中小企业发展管理办法》财库【2020】46号规定，本项目专门面向中小企业采购（监狱企业、残疾人福利性单位视同小微企业），符合条件的供应商应按文件要求提供相应声明函。</w:t>
      </w:r>
    </w:p>
    <w:p w14:paraId="496EC273">
      <w:pPr>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3.本项目的特定资格要求：</w:t>
      </w:r>
    </w:p>
    <w:p w14:paraId="489F11ED">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3.1供应商具有独立承担民事责任的能力，</w:t>
      </w:r>
      <w:bookmarkStart w:id="8" w:name="OLE_LINK2"/>
      <w:bookmarkStart w:id="9" w:name="OLE_LINK5"/>
      <w:r>
        <w:rPr>
          <w:rFonts w:hint="eastAsia" w:ascii="宋体" w:hAnsi="宋体"/>
          <w:color w:val="auto"/>
          <w:sz w:val="24"/>
          <w:highlight w:val="none"/>
          <w:shd w:val="clear" w:color="auto" w:fill="FFFFFF"/>
        </w:rPr>
        <w:t>提供有效的营业执照</w:t>
      </w:r>
      <w:bookmarkEnd w:id="8"/>
      <w:bookmarkEnd w:id="9"/>
      <w:r>
        <w:rPr>
          <w:rFonts w:hint="eastAsia" w:ascii="宋体" w:hAnsi="宋体"/>
          <w:color w:val="auto"/>
          <w:sz w:val="24"/>
          <w:highlight w:val="none"/>
          <w:shd w:val="clear" w:color="auto" w:fill="FFFFFF"/>
        </w:rPr>
        <w:t>（也可上传电子营业执照）；</w:t>
      </w:r>
    </w:p>
    <w:p w14:paraId="175556A2">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2</w:t>
      </w:r>
      <w:r>
        <w:rPr>
          <w:rFonts w:hint="eastAsia" w:ascii="宋体" w:hAnsi="宋体"/>
          <w:color w:val="auto"/>
          <w:sz w:val="24"/>
          <w:highlight w:val="none"/>
          <w:shd w:val="clear" w:color="auto" w:fill="FFFFFF"/>
        </w:rPr>
        <w:t>供应商具有良好的商业信誉和健全的财务会计制度（提供承诺函,格式自拟）；</w:t>
      </w:r>
    </w:p>
    <w:p w14:paraId="71B23AD7">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3</w:t>
      </w:r>
      <w:r>
        <w:rPr>
          <w:rFonts w:hint="eastAsia" w:ascii="宋体" w:hAnsi="宋体"/>
          <w:color w:val="auto"/>
          <w:sz w:val="24"/>
          <w:highlight w:val="none"/>
          <w:shd w:val="clear" w:color="auto" w:fill="FFFFFF"/>
        </w:rPr>
        <w:t>供应商具有依法缴纳税收和社会保障资金的良好记录（提供承诺函,格式自拟）；</w:t>
      </w:r>
    </w:p>
    <w:p w14:paraId="5480A824">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4</w:t>
      </w:r>
      <w:r>
        <w:rPr>
          <w:rFonts w:hint="eastAsia" w:ascii="宋体" w:hAnsi="宋体"/>
          <w:color w:val="auto"/>
          <w:sz w:val="24"/>
          <w:highlight w:val="none"/>
          <w:shd w:val="clear" w:color="auto" w:fill="FFFFFF"/>
        </w:rPr>
        <w:t>供应商具备履行合同所必须的设备和专业技术能力（提供承诺函,格式自拟）；</w:t>
      </w:r>
    </w:p>
    <w:p w14:paraId="39F1FD9C">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5</w:t>
      </w:r>
      <w:r>
        <w:rPr>
          <w:rFonts w:hint="eastAsia" w:ascii="宋体" w:hAnsi="宋体"/>
          <w:color w:val="auto"/>
          <w:sz w:val="24"/>
          <w:highlight w:val="none"/>
          <w:shd w:val="clear" w:color="auto" w:fill="FFFFFF"/>
        </w:rPr>
        <w:t>参加政府采购活动前3年内在经营活动中没有重大违法记录的书面声明(提供声明函,格式自拟)；</w:t>
      </w:r>
    </w:p>
    <w:p w14:paraId="7243BBE1">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6</w:t>
      </w:r>
      <w:r>
        <w:rPr>
          <w:rFonts w:hint="eastAsia" w:ascii="宋体" w:hAnsi="宋体"/>
          <w:color w:val="auto"/>
          <w:kern w:val="0"/>
          <w:sz w:val="24"/>
          <w:highlight w:val="none"/>
          <w:lang w:val="zh-CN"/>
        </w:rPr>
        <w:t>不允许分包、转包，</w:t>
      </w:r>
      <w:r>
        <w:rPr>
          <w:rFonts w:hint="eastAsia" w:ascii="宋体" w:hAnsi="宋体"/>
          <w:color w:val="auto"/>
          <w:kern w:val="0"/>
          <w:sz w:val="24"/>
          <w:highlight w:val="none"/>
        </w:rPr>
        <w:t>供应商</w:t>
      </w:r>
      <w:r>
        <w:rPr>
          <w:rFonts w:hint="eastAsia" w:ascii="宋体" w:hAnsi="宋体"/>
          <w:color w:val="auto"/>
          <w:kern w:val="0"/>
          <w:sz w:val="24"/>
          <w:highlight w:val="none"/>
          <w:lang w:val="zh-CN"/>
        </w:rPr>
        <w:t>负责人为同一人或者存在直接控股、管理关系的不同</w:t>
      </w:r>
      <w:r>
        <w:rPr>
          <w:rFonts w:hint="eastAsia" w:ascii="宋体" w:hAnsi="宋体"/>
          <w:color w:val="auto"/>
          <w:sz w:val="24"/>
          <w:highlight w:val="none"/>
          <w:shd w:val="clear" w:color="auto" w:fill="FFFFFF"/>
          <w:lang w:val="zh-CN"/>
        </w:rPr>
        <w:t>投标人，不得同时参加同一项目的采购活动。（供应商自行承诺，格式自拟）</w:t>
      </w:r>
      <w:r>
        <w:rPr>
          <w:rFonts w:hint="eastAsia" w:ascii="宋体" w:hAnsi="宋体"/>
          <w:color w:val="auto"/>
          <w:sz w:val="24"/>
          <w:highlight w:val="none"/>
          <w:shd w:val="clear" w:color="auto" w:fill="FFFFFF"/>
        </w:rPr>
        <w:t>。</w:t>
      </w:r>
    </w:p>
    <w:p w14:paraId="147C7E98">
      <w:pPr>
        <w:tabs>
          <w:tab w:val="left" w:pos="420"/>
        </w:tabs>
        <w:snapToGrid w:val="0"/>
        <w:spacing w:line="360" w:lineRule="auto"/>
        <w:ind w:firstLine="480" w:firstLineChars="200"/>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3.</w:t>
      </w:r>
      <w:r>
        <w:rPr>
          <w:rFonts w:hint="eastAsia" w:ascii="宋体" w:hAnsi="宋体"/>
          <w:color w:val="auto"/>
          <w:sz w:val="24"/>
          <w:highlight w:val="none"/>
          <w:shd w:val="clear" w:color="auto" w:fill="FFFFFF"/>
          <w:lang w:val="en-US" w:eastAsia="zh-CN"/>
        </w:rPr>
        <w:t>7</w:t>
      </w:r>
      <w:r>
        <w:rPr>
          <w:rFonts w:hint="eastAsia" w:ascii="宋体" w:hAnsi="宋体"/>
          <w:color w:val="auto"/>
          <w:kern w:val="0"/>
          <w:sz w:val="24"/>
          <w:highlight w:val="none"/>
          <w:lang w:val="zh-CN"/>
        </w:rPr>
        <w:t>供应商</w:t>
      </w:r>
      <w:r>
        <w:rPr>
          <w:rFonts w:hint="eastAsia" w:ascii="宋体" w:hAnsi="宋体"/>
          <w:color w:val="auto"/>
          <w:kern w:val="0"/>
          <w:sz w:val="24"/>
          <w:highlight w:val="none"/>
        </w:rPr>
        <w:t>需提供公告发布之日后的“信用中国”网站的“失信被执行人”（自动跳转至“中国执行信息公开网”）、和“重大税收违法失信主体”、“中国政府采购网”网站的“政府采购严重违法失信行为记录名单”查询结果页面，若有不良记录，则投标无效。</w:t>
      </w:r>
    </w:p>
    <w:p w14:paraId="46F08D7A">
      <w:pPr>
        <w:tabs>
          <w:tab w:val="left" w:pos="420"/>
        </w:tabs>
        <w:snapToGrid w:val="0"/>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8</w:t>
      </w:r>
      <w:r>
        <w:rPr>
          <w:rFonts w:hint="eastAsia" w:ascii="宋体" w:hAnsi="宋体"/>
          <w:color w:val="auto"/>
          <w:kern w:val="0"/>
          <w:sz w:val="24"/>
          <w:highlight w:val="none"/>
        </w:rPr>
        <w:t>本次招标为资格后审，不接受联合体投标。</w:t>
      </w:r>
    </w:p>
    <w:p w14:paraId="06138EFE">
      <w:pPr>
        <w:tabs>
          <w:tab w:val="left" w:pos="420"/>
        </w:tabs>
        <w:snapToGrid w:val="0"/>
        <w:spacing w:line="360" w:lineRule="auto"/>
        <w:ind w:firstLine="482" w:firstLineChars="200"/>
        <w:rPr>
          <w:rFonts w:hint="eastAsia"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注：</w:t>
      </w:r>
      <w:r>
        <w:rPr>
          <w:rFonts w:hint="eastAsia" w:ascii="宋体" w:hAnsi="宋体"/>
          <w:color w:val="auto"/>
          <w:kern w:val="0"/>
          <w:sz w:val="24"/>
          <w:highlight w:val="none"/>
        </w:rPr>
        <w:t>供应商所提供资料必须真实有效并提供资料真实有效承诺书，并愿意承担因就提供虚假资料随时视为放弃中标资格并承担由此引起的一切不良和法律后果（需出具承诺书，格式自拟）。</w:t>
      </w:r>
    </w:p>
    <w:p w14:paraId="68216A64">
      <w:pPr>
        <w:snapToGrid w:val="0"/>
        <w:spacing w:line="360" w:lineRule="auto"/>
        <w:outlineLvl w:val="1"/>
        <w:rPr>
          <w:rFonts w:hint="eastAsia"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三、获取磋商文件：</w:t>
      </w:r>
    </w:p>
    <w:p w14:paraId="239CB327">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1、时间：2025年</w:t>
      </w:r>
      <w:r>
        <w:rPr>
          <w:rFonts w:hint="eastAsia" w:ascii="宋体" w:hAnsi="宋体"/>
          <w:color w:val="auto"/>
          <w:kern w:val="0"/>
          <w:sz w:val="24"/>
          <w:szCs w:val="20"/>
          <w:highlight w:val="none"/>
          <w:lang w:val="en-US" w:eastAsia="zh-CN"/>
        </w:rPr>
        <w:t>12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04</w:t>
      </w:r>
      <w:r>
        <w:rPr>
          <w:rFonts w:hint="eastAsia" w:ascii="宋体" w:hAnsi="宋体"/>
          <w:color w:val="auto"/>
          <w:kern w:val="0"/>
          <w:sz w:val="24"/>
          <w:szCs w:val="20"/>
          <w:highlight w:val="none"/>
        </w:rPr>
        <w:t>日至2025年</w:t>
      </w:r>
      <w:r>
        <w:rPr>
          <w:rFonts w:hint="eastAsia" w:ascii="宋体" w:hAnsi="宋体"/>
          <w:color w:val="auto"/>
          <w:kern w:val="0"/>
          <w:sz w:val="24"/>
          <w:szCs w:val="20"/>
          <w:highlight w:val="none"/>
          <w:lang w:val="en-US" w:eastAsia="zh-CN"/>
        </w:rPr>
        <w:t>12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21</w:t>
      </w:r>
      <w:r>
        <w:rPr>
          <w:rFonts w:hint="eastAsia" w:ascii="宋体" w:hAnsi="宋体"/>
          <w:color w:val="auto"/>
          <w:kern w:val="0"/>
          <w:sz w:val="24"/>
          <w:szCs w:val="20"/>
          <w:highlight w:val="none"/>
        </w:rPr>
        <w:t>日，每天上午00:00至12:00，下午12:00至23:59（北京时间，法定节假日除外。）</w:t>
      </w:r>
    </w:p>
    <w:p w14:paraId="5B04DBEC">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2、地点：《全国公共资源交易平台（河南省·平顶山市）》</w:t>
      </w:r>
    </w:p>
    <w:p w14:paraId="5ECAACD7">
      <w:pPr>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3、方式：潜在投标人需凭CA数字证书通过《全国公共资源交易平台（河南省·平顶山市）》“不见面开标”入口进入交易系统进行下载文件。具体操作请查看以下链接：                链接地址：http://ggzy.pds.gov.cn/fwzn/11020.jhtml</w:t>
      </w:r>
      <w:r>
        <w:rPr>
          <w:rFonts w:hint="eastAsia" w:ascii="微软雅黑" w:hAnsi="微软雅黑" w:eastAsia="微软雅黑"/>
          <w:color w:val="auto"/>
          <w:sz w:val="24"/>
          <w:highlight w:val="none"/>
          <w:shd w:val="clear" w:color="auto" w:fill="FFFFFF"/>
        </w:rPr>
        <w:br w:type="textWrapping"/>
      </w:r>
      <w:r>
        <w:rPr>
          <w:rFonts w:hint="eastAsia" w:ascii="微软雅黑" w:hAnsi="微软雅黑" w:eastAsia="微软雅黑"/>
          <w:color w:val="auto"/>
          <w:sz w:val="24"/>
          <w:highlight w:val="none"/>
          <w:shd w:val="clear" w:color="auto" w:fill="FFFFFF"/>
        </w:rPr>
        <w:t xml:space="preserve">    </w:t>
      </w:r>
      <w:r>
        <w:rPr>
          <w:rFonts w:hint="eastAsia" w:ascii="宋体" w:hAnsi="宋体"/>
          <w:color w:val="auto"/>
          <w:kern w:val="0"/>
          <w:sz w:val="24"/>
          <w:szCs w:val="20"/>
          <w:highlight w:val="none"/>
        </w:rPr>
        <w:t>办理CA证书：http://ggzy.pds.gov.cn/tzgg/10814.jhtml</w:t>
      </w:r>
    </w:p>
    <w:p w14:paraId="2BDA62B2">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4、售价：0元</w:t>
      </w:r>
    </w:p>
    <w:p w14:paraId="7A7961F5">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四、响应文件提交</w:t>
      </w:r>
    </w:p>
    <w:p w14:paraId="4EA2DF49">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1、截止时间：2025年</w:t>
      </w:r>
      <w:r>
        <w:rPr>
          <w:rFonts w:hint="eastAsia" w:ascii="宋体" w:hAnsi="宋体"/>
          <w:color w:val="auto"/>
          <w:kern w:val="0"/>
          <w:sz w:val="24"/>
          <w:szCs w:val="20"/>
          <w:highlight w:val="none"/>
          <w:lang w:val="en-US" w:eastAsia="zh-CN"/>
        </w:rPr>
        <w:t>12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22</w:t>
      </w:r>
      <w:r>
        <w:rPr>
          <w:rFonts w:hint="eastAsia" w:ascii="宋体" w:hAnsi="宋体"/>
          <w:color w:val="auto"/>
          <w:kern w:val="0"/>
          <w:sz w:val="24"/>
          <w:szCs w:val="20"/>
          <w:highlight w:val="none"/>
        </w:rPr>
        <w:t>日0</w:t>
      </w:r>
      <w:r>
        <w:rPr>
          <w:rFonts w:hint="eastAsia" w:ascii="宋体" w:hAnsi="宋体"/>
          <w:color w:val="auto"/>
          <w:kern w:val="0"/>
          <w:sz w:val="24"/>
          <w:szCs w:val="20"/>
          <w:highlight w:val="none"/>
          <w:lang w:val="en-US" w:eastAsia="zh-CN"/>
        </w:rPr>
        <w:t>8</w:t>
      </w:r>
      <w:r>
        <w:rPr>
          <w:rFonts w:hint="eastAsia" w:ascii="宋体" w:hAnsi="宋体"/>
          <w:color w:val="auto"/>
          <w:kern w:val="0"/>
          <w:sz w:val="24"/>
          <w:szCs w:val="20"/>
          <w:highlight w:val="none"/>
        </w:rPr>
        <w:t>时</w:t>
      </w:r>
      <w:r>
        <w:rPr>
          <w:rFonts w:hint="eastAsia" w:ascii="宋体" w:hAnsi="宋体"/>
          <w:color w:val="auto"/>
          <w:kern w:val="0"/>
          <w:sz w:val="24"/>
          <w:szCs w:val="20"/>
          <w:highlight w:val="none"/>
          <w:lang w:val="en-US" w:eastAsia="zh-CN"/>
        </w:rPr>
        <w:t>4</w:t>
      </w:r>
      <w:r>
        <w:rPr>
          <w:rFonts w:hint="eastAsia" w:ascii="宋体" w:hAnsi="宋体"/>
          <w:color w:val="auto"/>
          <w:kern w:val="0"/>
          <w:sz w:val="24"/>
          <w:szCs w:val="20"/>
          <w:highlight w:val="none"/>
        </w:rPr>
        <w:t>0分（北京时间）</w:t>
      </w:r>
    </w:p>
    <w:p w14:paraId="41ECB501">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2、地点：平顶山市公共资源交易中心电子交易系统</w:t>
      </w:r>
    </w:p>
    <w:p w14:paraId="4BD65212">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bookmarkStart w:id="10" w:name="_Toc2307"/>
      <w:bookmarkStart w:id="11" w:name="_Toc35393802"/>
      <w:bookmarkStart w:id="12" w:name="_Toc18124"/>
      <w:bookmarkStart w:id="13" w:name="_Toc28359016"/>
      <w:bookmarkStart w:id="14" w:name="_Toc35393633"/>
      <w:bookmarkStart w:id="15" w:name="_Toc28359093"/>
      <w:r>
        <w:rPr>
          <w:rFonts w:hint="eastAsia" w:ascii="宋体" w:hAnsi="宋体"/>
          <w:b/>
          <w:bCs/>
          <w:color w:val="auto"/>
          <w:kern w:val="0"/>
          <w:sz w:val="24"/>
          <w:szCs w:val="20"/>
          <w:highlight w:val="none"/>
        </w:rPr>
        <w:t>五、响应文件开启</w:t>
      </w:r>
      <w:bookmarkEnd w:id="10"/>
      <w:bookmarkEnd w:id="11"/>
      <w:bookmarkEnd w:id="12"/>
      <w:bookmarkEnd w:id="13"/>
      <w:bookmarkEnd w:id="14"/>
      <w:bookmarkEnd w:id="15"/>
    </w:p>
    <w:p w14:paraId="5D213FB1">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1、时间：2025年</w:t>
      </w:r>
      <w:r>
        <w:rPr>
          <w:rFonts w:hint="eastAsia" w:ascii="宋体" w:hAnsi="宋体"/>
          <w:color w:val="auto"/>
          <w:kern w:val="0"/>
          <w:sz w:val="24"/>
          <w:szCs w:val="20"/>
          <w:highlight w:val="none"/>
          <w:lang w:val="en-US" w:eastAsia="zh-CN"/>
        </w:rPr>
        <w:t>12</w:t>
      </w:r>
      <w:r>
        <w:rPr>
          <w:rFonts w:hint="eastAsia" w:ascii="宋体" w:hAnsi="宋体"/>
          <w:color w:val="auto"/>
          <w:kern w:val="0"/>
          <w:sz w:val="24"/>
          <w:szCs w:val="20"/>
          <w:highlight w:val="none"/>
        </w:rPr>
        <w:t>月</w:t>
      </w:r>
      <w:r>
        <w:rPr>
          <w:rFonts w:hint="eastAsia" w:ascii="宋体" w:hAnsi="宋体"/>
          <w:color w:val="auto"/>
          <w:kern w:val="0"/>
          <w:sz w:val="24"/>
          <w:szCs w:val="20"/>
          <w:highlight w:val="none"/>
          <w:lang w:val="en-US" w:eastAsia="zh-CN"/>
        </w:rPr>
        <w:t>22</w:t>
      </w:r>
      <w:r>
        <w:rPr>
          <w:rFonts w:hint="eastAsia" w:ascii="宋体" w:hAnsi="宋体"/>
          <w:color w:val="auto"/>
          <w:kern w:val="0"/>
          <w:sz w:val="24"/>
          <w:szCs w:val="20"/>
          <w:highlight w:val="none"/>
        </w:rPr>
        <w:t>日0</w:t>
      </w:r>
      <w:r>
        <w:rPr>
          <w:rFonts w:hint="eastAsia" w:ascii="宋体" w:hAnsi="宋体"/>
          <w:color w:val="auto"/>
          <w:kern w:val="0"/>
          <w:sz w:val="24"/>
          <w:szCs w:val="20"/>
          <w:highlight w:val="none"/>
          <w:lang w:val="en-US" w:eastAsia="zh-CN"/>
        </w:rPr>
        <w:t>8</w:t>
      </w:r>
      <w:r>
        <w:rPr>
          <w:rFonts w:hint="eastAsia" w:ascii="宋体" w:hAnsi="宋体"/>
          <w:color w:val="auto"/>
          <w:kern w:val="0"/>
          <w:sz w:val="24"/>
          <w:szCs w:val="20"/>
          <w:highlight w:val="none"/>
        </w:rPr>
        <w:t>时</w:t>
      </w:r>
      <w:r>
        <w:rPr>
          <w:rFonts w:hint="eastAsia" w:ascii="宋体" w:hAnsi="宋体"/>
          <w:color w:val="auto"/>
          <w:kern w:val="0"/>
          <w:sz w:val="24"/>
          <w:szCs w:val="20"/>
          <w:highlight w:val="none"/>
          <w:lang w:val="en-US" w:eastAsia="zh-CN"/>
        </w:rPr>
        <w:t>4</w:t>
      </w:r>
      <w:r>
        <w:rPr>
          <w:rFonts w:hint="eastAsia" w:ascii="宋体" w:hAnsi="宋体"/>
          <w:color w:val="auto"/>
          <w:kern w:val="0"/>
          <w:sz w:val="24"/>
          <w:szCs w:val="20"/>
          <w:highlight w:val="none"/>
        </w:rPr>
        <w:t>0分（北京时间）</w:t>
      </w:r>
    </w:p>
    <w:p w14:paraId="7BE5F567">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2、地点：平顶山市公共资源交易中心电子交易系统</w:t>
      </w:r>
    </w:p>
    <w:p w14:paraId="4F91CDF4">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六、发布公告的媒介及招标公告期限</w:t>
      </w:r>
    </w:p>
    <w:p w14:paraId="4ED42D58">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bookmarkStart w:id="16" w:name="_Toc35393635"/>
      <w:bookmarkStart w:id="17" w:name="_Toc35393804"/>
      <w:r>
        <w:rPr>
          <w:rFonts w:hint="eastAsia" w:ascii="宋体" w:hAnsi="宋体"/>
          <w:color w:val="auto"/>
          <w:kern w:val="0"/>
          <w:sz w:val="24"/>
          <w:szCs w:val="20"/>
          <w:highlight w:val="none"/>
        </w:rPr>
        <w:t>本次招标公告在《河南省政府采购网》、《平顶山市政府采购网》、《鲁山县政府采购网》、《全国公共资源交易平台（河南省·平顶山市）》上发布</w:t>
      </w:r>
      <w:bookmarkEnd w:id="16"/>
      <w:bookmarkEnd w:id="17"/>
      <w:r>
        <w:rPr>
          <w:rFonts w:hint="eastAsia" w:ascii="宋体" w:hAnsi="宋体"/>
          <w:color w:val="auto"/>
          <w:kern w:val="0"/>
          <w:sz w:val="24"/>
          <w:szCs w:val="20"/>
          <w:highlight w:val="none"/>
        </w:rPr>
        <w:t>，公告期限为三个工作日。</w:t>
      </w:r>
    </w:p>
    <w:p w14:paraId="6C273958">
      <w:pPr>
        <w:widowControl/>
        <w:shd w:val="clear" w:color="auto" w:fill="FFFFFF"/>
        <w:snapToGrid w:val="0"/>
        <w:spacing w:line="360" w:lineRule="auto"/>
        <w:ind w:firstLine="482" w:firstLineChars="200"/>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七、其他补充事宜</w:t>
      </w:r>
    </w:p>
    <w:p w14:paraId="4F553D9F">
      <w:pPr>
        <w:widowControl/>
        <w:shd w:val="clear" w:color="auto" w:fill="FFFFFF"/>
        <w:snapToGrid w:val="0"/>
        <w:spacing w:line="360" w:lineRule="auto"/>
        <w:ind w:firstLine="480" w:firstLineChars="200"/>
        <w:jc w:val="left"/>
        <w:rPr>
          <w:rFonts w:hint="default" w:ascii="宋体" w:hAnsi="宋体" w:eastAsia="宋体"/>
          <w:color w:val="auto"/>
          <w:kern w:val="0"/>
          <w:sz w:val="24"/>
          <w:szCs w:val="20"/>
          <w:highlight w:val="none"/>
        </w:rPr>
      </w:pPr>
      <w:r>
        <w:rPr>
          <w:rFonts w:hint="eastAsia" w:ascii="宋体" w:hAnsi="宋体" w:eastAsia="宋体"/>
          <w:color w:val="auto"/>
          <w:kern w:val="0"/>
          <w:sz w:val="24"/>
          <w:szCs w:val="20"/>
          <w:highlight w:val="none"/>
        </w:rPr>
        <w:t>1、平顶山市公共资源交易中心全面实行在线“不见面”开标，供应商远程在线解密响应文件，不再到开标现场，供应商开标前应仔细阅读磋商文件中《“不见面”开标注意事项及操作流程》。</w:t>
      </w:r>
      <w:r>
        <w:rPr>
          <w:rFonts w:hint="default" w:ascii="宋体" w:hAnsi="宋体" w:eastAsia="宋体"/>
          <w:color w:val="auto"/>
          <w:kern w:val="0"/>
          <w:sz w:val="24"/>
          <w:szCs w:val="20"/>
          <w:highlight w:val="none"/>
        </w:rPr>
        <w:br w:type="textWrapping"/>
      </w:r>
      <w:r>
        <w:rPr>
          <w:rFonts w:hint="eastAsia" w:ascii="宋体" w:hAnsi="宋体" w:eastAsia="宋体"/>
          <w:color w:val="auto"/>
          <w:kern w:val="0"/>
          <w:sz w:val="24"/>
          <w:szCs w:val="20"/>
          <w:highlight w:val="none"/>
          <w:lang w:val="en-US" w:eastAsia="zh-CN"/>
        </w:rPr>
        <w:t xml:space="preserve">   </w:t>
      </w:r>
      <w:r>
        <w:rPr>
          <w:rFonts w:hint="default" w:ascii="宋体" w:hAnsi="宋体" w:eastAsia="宋体"/>
          <w:color w:val="auto"/>
          <w:kern w:val="0"/>
          <w:sz w:val="24"/>
          <w:szCs w:val="20"/>
          <w:highlight w:val="none"/>
        </w:rPr>
        <w:t>2、逾期上传的竞争性磋商响应文件，采购人不予受理。投标人或其他利害关系人对本次竞争性磋商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r>
        <w:rPr>
          <w:rFonts w:hint="default" w:ascii="宋体" w:hAnsi="宋体" w:eastAsia="宋体"/>
          <w:color w:val="auto"/>
          <w:kern w:val="0"/>
          <w:sz w:val="24"/>
          <w:szCs w:val="20"/>
          <w:highlight w:val="none"/>
        </w:rPr>
        <w:br w:type="textWrapping"/>
      </w:r>
      <w:r>
        <w:rPr>
          <w:rFonts w:hint="eastAsia" w:ascii="宋体" w:hAnsi="宋体" w:eastAsia="宋体"/>
          <w:color w:val="auto"/>
          <w:kern w:val="0"/>
          <w:sz w:val="24"/>
          <w:szCs w:val="20"/>
          <w:highlight w:val="none"/>
          <w:lang w:val="en-US" w:eastAsia="zh-CN"/>
        </w:rPr>
        <w:t xml:space="preserve">   </w:t>
      </w:r>
      <w:r>
        <w:rPr>
          <w:rFonts w:hint="default" w:ascii="宋体" w:hAnsi="宋体" w:eastAsia="宋体"/>
          <w:color w:val="auto"/>
          <w:kern w:val="0"/>
          <w:sz w:val="24"/>
          <w:szCs w:val="20"/>
          <w:highlight w:val="none"/>
        </w:rPr>
        <w:t>3、该公告已同步至“平顶山市公共资源交易中心微信公众号”，可通过公众号中的服务栏目进行查阅。</w:t>
      </w:r>
      <w:r>
        <w:rPr>
          <w:rFonts w:hint="default" w:ascii="宋体" w:hAnsi="宋体" w:eastAsia="宋体"/>
          <w:color w:val="auto"/>
          <w:kern w:val="0"/>
          <w:sz w:val="24"/>
          <w:szCs w:val="20"/>
          <w:highlight w:val="none"/>
        </w:rPr>
        <w:br w:type="textWrapping"/>
      </w:r>
      <w:r>
        <w:rPr>
          <w:rFonts w:hint="eastAsia" w:ascii="宋体" w:hAnsi="宋体" w:eastAsia="宋体"/>
          <w:color w:val="auto"/>
          <w:kern w:val="0"/>
          <w:sz w:val="24"/>
          <w:szCs w:val="20"/>
          <w:highlight w:val="none"/>
          <w:lang w:val="en-US" w:eastAsia="zh-CN"/>
        </w:rPr>
        <w:t xml:space="preserve">   </w:t>
      </w:r>
      <w:r>
        <w:rPr>
          <w:rFonts w:hint="default" w:ascii="宋体" w:hAnsi="宋体" w:eastAsia="宋体"/>
          <w:color w:val="auto"/>
          <w:kern w:val="0"/>
          <w:sz w:val="24"/>
          <w:szCs w:val="20"/>
          <w:highlight w:val="none"/>
        </w:rPr>
        <w:t>4、行政监督单位：鲁山县财政局</w:t>
      </w:r>
      <w:r>
        <w:rPr>
          <w:rFonts w:hint="default" w:ascii="宋体" w:hAnsi="宋体" w:eastAsia="宋体"/>
          <w:color w:val="auto"/>
          <w:kern w:val="0"/>
          <w:sz w:val="24"/>
          <w:szCs w:val="20"/>
          <w:highlight w:val="none"/>
        </w:rPr>
        <w:br w:type="textWrapping"/>
      </w:r>
      <w:r>
        <w:rPr>
          <w:rFonts w:hint="eastAsia" w:ascii="宋体" w:hAnsi="宋体" w:eastAsia="宋体"/>
          <w:color w:val="auto"/>
          <w:kern w:val="0"/>
          <w:sz w:val="24"/>
          <w:szCs w:val="20"/>
          <w:highlight w:val="none"/>
          <w:lang w:val="en-US" w:eastAsia="zh-CN"/>
        </w:rPr>
        <w:t xml:space="preserve">    </w:t>
      </w:r>
      <w:r>
        <w:rPr>
          <w:rFonts w:hint="default" w:ascii="宋体" w:hAnsi="宋体" w:eastAsia="宋体"/>
          <w:color w:val="auto"/>
          <w:kern w:val="0"/>
          <w:sz w:val="24"/>
          <w:szCs w:val="20"/>
          <w:highlight w:val="none"/>
        </w:rPr>
        <w:t>统一信用代码：11410423005487188A</w:t>
      </w:r>
      <w:r>
        <w:rPr>
          <w:rFonts w:hint="default" w:ascii="宋体" w:hAnsi="宋体" w:eastAsia="宋体"/>
          <w:color w:val="auto"/>
          <w:kern w:val="0"/>
          <w:sz w:val="24"/>
          <w:szCs w:val="20"/>
          <w:highlight w:val="none"/>
        </w:rPr>
        <w:br w:type="textWrapping"/>
      </w:r>
      <w:r>
        <w:rPr>
          <w:rFonts w:hint="eastAsia" w:ascii="宋体" w:hAnsi="宋体" w:eastAsia="宋体"/>
          <w:color w:val="auto"/>
          <w:kern w:val="0"/>
          <w:sz w:val="24"/>
          <w:szCs w:val="20"/>
          <w:highlight w:val="none"/>
          <w:lang w:val="en-US" w:eastAsia="zh-CN"/>
        </w:rPr>
        <w:t xml:space="preserve">    </w:t>
      </w:r>
      <w:r>
        <w:rPr>
          <w:rFonts w:hint="default" w:ascii="宋体" w:hAnsi="宋体" w:eastAsia="宋体"/>
          <w:color w:val="auto"/>
          <w:kern w:val="0"/>
          <w:sz w:val="24"/>
          <w:szCs w:val="20"/>
          <w:highlight w:val="none"/>
        </w:rPr>
        <w:t>联系电话：0375-5057526</w:t>
      </w:r>
    </w:p>
    <w:p w14:paraId="04AA2F97">
      <w:pPr>
        <w:widowControl/>
        <w:shd w:val="clear" w:color="auto" w:fill="FFFFFF"/>
        <w:snapToGrid w:val="0"/>
        <w:spacing w:line="360" w:lineRule="auto"/>
        <w:jc w:val="left"/>
        <w:rPr>
          <w:rFonts w:hint="eastAsia" w:ascii="宋体" w:hAnsi="宋体"/>
          <w:b/>
          <w:bCs/>
          <w:color w:val="auto"/>
          <w:kern w:val="0"/>
          <w:sz w:val="24"/>
          <w:szCs w:val="20"/>
          <w:highlight w:val="none"/>
        </w:rPr>
      </w:pPr>
      <w:r>
        <w:rPr>
          <w:rFonts w:hint="eastAsia" w:ascii="宋体" w:hAnsi="宋体"/>
          <w:b/>
          <w:bCs/>
          <w:color w:val="auto"/>
          <w:kern w:val="0"/>
          <w:sz w:val="24"/>
          <w:szCs w:val="20"/>
          <w:highlight w:val="none"/>
        </w:rPr>
        <w:t> 八、凡对本次招标提出询问，请按照以下方式联系</w:t>
      </w:r>
    </w:p>
    <w:p w14:paraId="13D4052C">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1、采购单位：鲁山县自然资源局</w:t>
      </w:r>
    </w:p>
    <w:p w14:paraId="29476C1B">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地 址：</w:t>
      </w:r>
      <w:bookmarkStart w:id="18" w:name="OLE_LINK15"/>
      <w:r>
        <w:rPr>
          <w:rFonts w:hint="eastAsia" w:ascii="宋体" w:hAnsi="宋体"/>
          <w:color w:val="auto"/>
          <w:kern w:val="0"/>
          <w:sz w:val="24"/>
          <w:szCs w:val="20"/>
          <w:highlight w:val="none"/>
        </w:rPr>
        <w:t>鲁山县鲁平大道西段金泽电器院内</w:t>
      </w:r>
      <w:bookmarkEnd w:id="18"/>
    </w:p>
    <w:p w14:paraId="4895AADE">
      <w:pPr>
        <w:widowControl/>
        <w:shd w:val="clear" w:color="auto" w:fill="FFFFFF"/>
        <w:snapToGrid w:val="0"/>
        <w:spacing w:line="360" w:lineRule="auto"/>
        <w:ind w:firstLine="480" w:firstLineChars="200"/>
        <w:jc w:val="left"/>
        <w:rPr>
          <w:rFonts w:hint="eastAsia" w:ascii="宋体" w:hAnsi="宋体" w:eastAsia="宋体"/>
          <w:color w:val="auto"/>
          <w:kern w:val="0"/>
          <w:sz w:val="24"/>
          <w:szCs w:val="20"/>
          <w:highlight w:val="none"/>
          <w:lang w:eastAsia="zh-CN"/>
        </w:rPr>
      </w:pPr>
      <w:r>
        <w:rPr>
          <w:rFonts w:hint="eastAsia" w:ascii="宋体" w:hAnsi="宋体"/>
          <w:color w:val="auto"/>
          <w:kern w:val="0"/>
          <w:sz w:val="24"/>
          <w:szCs w:val="20"/>
          <w:highlight w:val="none"/>
        </w:rPr>
        <w:t>联系人：</w:t>
      </w:r>
      <w:r>
        <w:rPr>
          <w:rFonts w:hint="eastAsia" w:ascii="宋体" w:hAnsi="宋体"/>
          <w:color w:val="auto"/>
          <w:kern w:val="0"/>
          <w:sz w:val="24"/>
          <w:szCs w:val="20"/>
          <w:highlight w:val="none"/>
          <w:lang w:eastAsia="zh-CN"/>
        </w:rPr>
        <w:t>王先生</w:t>
      </w:r>
    </w:p>
    <w:p w14:paraId="3671B1CD">
      <w:pPr>
        <w:widowControl/>
        <w:shd w:val="clear" w:color="auto" w:fill="FFFFFF"/>
        <w:snapToGrid w:val="0"/>
        <w:spacing w:line="360" w:lineRule="auto"/>
        <w:ind w:firstLine="480" w:firstLineChars="200"/>
        <w:jc w:val="left"/>
        <w:rPr>
          <w:rFonts w:hint="eastAsia" w:ascii="宋体" w:hAnsi="宋体" w:eastAsia="宋体"/>
          <w:color w:val="auto"/>
          <w:kern w:val="0"/>
          <w:sz w:val="24"/>
          <w:szCs w:val="20"/>
          <w:highlight w:val="none"/>
          <w:lang w:eastAsia="zh-CN"/>
        </w:rPr>
      </w:pPr>
      <w:r>
        <w:rPr>
          <w:rFonts w:hint="eastAsia" w:ascii="宋体" w:hAnsi="宋体"/>
          <w:color w:val="auto"/>
          <w:kern w:val="0"/>
          <w:sz w:val="24"/>
          <w:szCs w:val="20"/>
          <w:highlight w:val="none"/>
        </w:rPr>
        <w:t>电话：</w:t>
      </w:r>
      <w:r>
        <w:rPr>
          <w:rFonts w:hint="eastAsia" w:ascii="宋体" w:hAnsi="宋体"/>
          <w:color w:val="auto"/>
          <w:kern w:val="0"/>
          <w:sz w:val="24"/>
          <w:szCs w:val="20"/>
          <w:highlight w:val="none"/>
          <w:lang w:eastAsia="zh-CN"/>
        </w:rPr>
        <w:t>15093759552</w:t>
      </w:r>
    </w:p>
    <w:p w14:paraId="3AC5B295">
      <w:pPr>
        <w:widowControl/>
        <w:shd w:val="clear" w:color="auto" w:fill="FFFFFF"/>
        <w:snapToGrid w:val="0"/>
        <w:spacing w:line="360" w:lineRule="auto"/>
        <w:ind w:firstLine="480" w:firstLineChars="200"/>
        <w:jc w:val="left"/>
        <w:rPr>
          <w:rFonts w:hint="eastAsia" w:ascii="宋体" w:hAnsi="宋体"/>
          <w:color w:val="auto"/>
          <w:kern w:val="0"/>
          <w:sz w:val="24"/>
          <w:szCs w:val="20"/>
          <w:highlight w:val="none"/>
        </w:rPr>
      </w:pPr>
      <w:r>
        <w:rPr>
          <w:rFonts w:hint="eastAsia" w:ascii="宋体" w:hAnsi="宋体"/>
          <w:color w:val="auto"/>
          <w:kern w:val="0"/>
          <w:sz w:val="24"/>
          <w:szCs w:val="20"/>
          <w:highlight w:val="none"/>
        </w:rPr>
        <w:t>2、</w:t>
      </w:r>
      <w:r>
        <w:rPr>
          <w:rFonts w:hint="eastAsia" w:ascii="宋体" w:hAnsi="宋体"/>
          <w:color w:val="auto"/>
          <w:sz w:val="24"/>
          <w:highlight w:val="none"/>
        </w:rPr>
        <w:t>采购代理机构信息</w:t>
      </w:r>
    </w:p>
    <w:p w14:paraId="06DB0210">
      <w:pPr>
        <w:widowControl/>
        <w:shd w:val="clear" w:color="auto" w:fill="FFFFFF"/>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采购代理机构：</w:t>
      </w:r>
      <w:r>
        <w:rPr>
          <w:rFonts w:hint="eastAsia" w:ascii="宋体" w:hAnsi="宋体"/>
          <w:color w:val="auto"/>
          <w:sz w:val="24"/>
          <w:highlight w:val="none"/>
          <w:lang w:eastAsia="zh-CN"/>
        </w:rPr>
        <w:t>河南舒翔工程管理有限公司</w:t>
      </w:r>
    </w:p>
    <w:p w14:paraId="47F47F44">
      <w:pPr>
        <w:widowControl/>
        <w:shd w:val="clear" w:color="auto" w:fill="FFFFFF"/>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地  址：</w:t>
      </w:r>
      <w:r>
        <w:rPr>
          <w:rFonts w:hint="eastAsia" w:ascii="宋体" w:hAnsi="宋体"/>
          <w:color w:val="auto"/>
          <w:sz w:val="24"/>
          <w:highlight w:val="none"/>
          <w:lang w:eastAsia="zh-CN"/>
        </w:rPr>
        <w:t>河南省郑州市郑东新区永平路与康平路交叉口（郑东商业中心）C区1号楼9层902号</w:t>
      </w:r>
    </w:p>
    <w:p w14:paraId="6B4CEA4A">
      <w:pPr>
        <w:widowControl/>
        <w:shd w:val="clear" w:color="auto" w:fill="FFFFFF"/>
        <w:snapToGrid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eastAsia="zh-CN"/>
        </w:rPr>
        <w:t>王先生</w:t>
      </w:r>
      <w:r>
        <w:rPr>
          <w:rFonts w:hint="eastAsia" w:ascii="宋体" w:hAnsi="宋体"/>
          <w:color w:val="auto"/>
          <w:sz w:val="24"/>
          <w:highlight w:val="none"/>
        </w:rPr>
        <w:t xml:space="preserve">    </w:t>
      </w:r>
    </w:p>
    <w:p w14:paraId="0B56C705">
      <w:pPr>
        <w:widowControl/>
        <w:shd w:val="clear" w:color="auto" w:fill="FFFFFF"/>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联系电话：</w:t>
      </w:r>
      <w:r>
        <w:rPr>
          <w:rFonts w:hint="eastAsia" w:ascii="宋体" w:hAnsi="宋体"/>
          <w:color w:val="auto"/>
          <w:sz w:val="24"/>
          <w:highlight w:val="none"/>
          <w:lang w:eastAsia="zh-CN"/>
        </w:rPr>
        <w:t>15137566456</w:t>
      </w:r>
    </w:p>
    <w:p w14:paraId="36F0F642">
      <w:pPr>
        <w:widowControl/>
        <w:numPr>
          <w:ilvl w:val="0"/>
          <w:numId w:val="3"/>
        </w:numPr>
        <w:shd w:val="clear" w:color="auto" w:fill="FFFFFF"/>
        <w:snapToGrid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项目联系人：</w:t>
      </w:r>
      <w:r>
        <w:rPr>
          <w:rFonts w:hint="eastAsia" w:ascii="宋体" w:hAnsi="宋体"/>
          <w:color w:val="auto"/>
          <w:sz w:val="24"/>
          <w:highlight w:val="none"/>
          <w:lang w:eastAsia="zh-CN"/>
        </w:rPr>
        <w:t>王先生</w:t>
      </w:r>
      <w:r>
        <w:rPr>
          <w:rFonts w:hint="eastAsia" w:ascii="宋体" w:hAnsi="宋体"/>
          <w:color w:val="auto"/>
          <w:sz w:val="24"/>
          <w:highlight w:val="none"/>
        </w:rPr>
        <w:t xml:space="preserve">         </w:t>
      </w:r>
    </w:p>
    <w:p w14:paraId="69DE4219">
      <w:pPr>
        <w:widowControl/>
        <w:shd w:val="clear" w:color="auto" w:fill="FFFFFF"/>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联系电话：</w:t>
      </w:r>
      <w:r>
        <w:rPr>
          <w:rFonts w:hint="eastAsia" w:ascii="宋体" w:hAnsi="宋体"/>
          <w:color w:val="auto"/>
          <w:sz w:val="24"/>
          <w:highlight w:val="none"/>
          <w:lang w:eastAsia="zh-CN"/>
        </w:rPr>
        <w:t>15137566456</w:t>
      </w:r>
    </w:p>
    <w:p w14:paraId="14C2B8BC">
      <w:pPr>
        <w:spacing w:line="360" w:lineRule="auto"/>
        <w:rPr>
          <w:rFonts w:ascii="宋体" w:hAnsi="宋体"/>
          <w:color w:val="auto"/>
          <w:kern w:val="0"/>
          <w:sz w:val="24"/>
          <w:szCs w:val="20"/>
          <w:highlight w:val="none"/>
        </w:rPr>
      </w:pPr>
      <w:r>
        <w:rPr>
          <w:rFonts w:ascii="宋体" w:hAnsi="宋体"/>
          <w:color w:val="auto"/>
          <w:kern w:val="0"/>
          <w:sz w:val="24"/>
          <w:szCs w:val="20"/>
          <w:highlight w:val="none"/>
        </w:rPr>
        <w:br w:type="page"/>
      </w:r>
    </w:p>
    <w:p w14:paraId="2E5DFF7D">
      <w:pPr>
        <w:tabs>
          <w:tab w:val="left" w:pos="4515"/>
          <w:tab w:val="left" w:pos="4725"/>
          <w:tab w:val="left" w:pos="5040"/>
        </w:tabs>
        <w:spacing w:line="520" w:lineRule="exact"/>
        <w:ind w:firstLine="482" w:firstLineChars="200"/>
        <w:rPr>
          <w:rFonts w:hint="eastAsia" w:ascii="宋体" w:hAnsi="宋体"/>
          <w:b/>
          <w:bCs/>
          <w:color w:val="auto"/>
          <w:sz w:val="24"/>
          <w:highlight w:val="none"/>
          <w:shd w:val="clear" w:color="auto" w:fill="FFFFFF"/>
        </w:rPr>
      </w:pPr>
      <w:r>
        <w:rPr>
          <w:rFonts w:hint="eastAsia" w:ascii="宋体" w:hAnsi="宋体"/>
          <w:b/>
          <w:bCs/>
          <w:color w:val="auto"/>
          <w:sz w:val="24"/>
          <w:highlight w:val="none"/>
          <w:shd w:val="clear" w:color="auto" w:fill="FFFFFF"/>
        </w:rPr>
        <w:t>温馨提示：</w:t>
      </w:r>
    </w:p>
    <w:p w14:paraId="7634C2AC">
      <w:pPr>
        <w:widowControl/>
        <w:shd w:val="clear" w:color="auto" w:fill="FFFFFF"/>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本项目为全流程电子化交易项目，请认真阅读招标文件，并注意以下事项。</w:t>
      </w:r>
    </w:p>
    <w:p w14:paraId="0D660E9E">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1.供应商应按采购文件规定编制、提交电子投标文件。</w:t>
      </w:r>
    </w:p>
    <w:p w14:paraId="0E0E0208">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2.电子文件下载、制作、提交期间和开标（电子投标文件的解密）环节，供应商须使用CA数字证书（证书须在有效期内）。</w:t>
      </w:r>
    </w:p>
    <w:p w14:paraId="0A7557A1">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3.电子投标文件的制作</w:t>
      </w:r>
    </w:p>
    <w:p w14:paraId="59AD01C6">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3.1 供应商登录《全国公共资源交易平台(河南省</w:t>
      </w:r>
      <w:r>
        <w:rPr>
          <w:rFonts w:eastAsia="MS Mincho"/>
          <w:color w:val="auto"/>
          <w:kern w:val="0"/>
          <w:sz w:val="24"/>
          <w:highlight w:val="none"/>
          <w:shd w:val="clear" w:color="auto" w:fill="FFFFFF"/>
        </w:rPr>
        <w:t>▪</w:t>
      </w:r>
      <w:r>
        <w:rPr>
          <w:color w:val="auto"/>
          <w:kern w:val="0"/>
          <w:sz w:val="24"/>
          <w:highlight w:val="none"/>
          <w:shd w:val="clear" w:color="auto" w:fill="FFFFFF"/>
        </w:rPr>
        <w:t>平顶山市)》公共资源交易系统（http://221.176.192.166:8080/ggzy/）下载“平顶山投标文件制作系统”，按采购文件要求制作电子投标文件。</w:t>
      </w:r>
    </w:p>
    <w:p w14:paraId="406D5A7C">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电子投标文件的制作，参考《全国公共资源交易平台(河南省</w:t>
      </w:r>
      <w:r>
        <w:rPr>
          <w:rFonts w:eastAsia="MS Mincho"/>
          <w:color w:val="auto"/>
          <w:kern w:val="0"/>
          <w:sz w:val="24"/>
          <w:highlight w:val="none"/>
          <w:shd w:val="clear" w:color="auto" w:fill="FFFFFF"/>
        </w:rPr>
        <w:t>▪</w:t>
      </w:r>
      <w:r>
        <w:rPr>
          <w:color w:val="auto"/>
          <w:kern w:val="0"/>
          <w:sz w:val="24"/>
          <w:highlight w:val="none"/>
          <w:shd w:val="clear" w:color="auto" w:fill="FFFFFF"/>
        </w:rPr>
        <w:t>平顶山市)》公共资源交易系统——组件下载——交易系统操作手册（供应商、供应商）。</w:t>
      </w:r>
    </w:p>
    <w:p w14:paraId="05FD4F66">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3.2 供应商须将采购文件要求的资质、业绩、荣誉及相关人员证明材料等资料原件扫描件（或图片）制作到所提交的电子投标文件中。</w:t>
      </w:r>
    </w:p>
    <w:p w14:paraId="76C7C63E">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3.3供应商对同一项目多个标段进行投标的，应分别下载所投标段的采购文件，按标段制作电子投标文件，并按采购文件要求在相应位置加盖供应商电子印章和法人电子印章。</w:t>
      </w:r>
    </w:p>
    <w:p w14:paraId="3CC83845">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4.加密电子投标文件的提交</w:t>
      </w:r>
    </w:p>
    <w:p w14:paraId="313A4542">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4.1加密电子投标文件应在采购文件规定的投标截止时间（开标时间）之前成功提交至《全国公共资源交易平台(河南省</w:t>
      </w:r>
      <w:r>
        <w:rPr>
          <w:rFonts w:eastAsia="MS Mincho"/>
          <w:color w:val="auto"/>
          <w:kern w:val="0"/>
          <w:sz w:val="24"/>
          <w:highlight w:val="none"/>
          <w:shd w:val="clear" w:color="auto" w:fill="FFFFFF"/>
        </w:rPr>
        <w:t>▪</w:t>
      </w:r>
      <w:r>
        <w:rPr>
          <w:color w:val="auto"/>
          <w:kern w:val="0"/>
          <w:sz w:val="24"/>
          <w:highlight w:val="none"/>
          <w:shd w:val="clear" w:color="auto" w:fill="FFFFFF"/>
        </w:rPr>
        <w:t>平顶山市)》公共资源交易系统（http://221.176.192.166:8080/ggzy/）。</w:t>
      </w:r>
    </w:p>
    <w:p w14:paraId="643CDF75">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供应商应充分考虑并预留技术处理和上传数据所需时间。</w:t>
      </w:r>
    </w:p>
    <w:p w14:paraId="3D46B546">
      <w:pPr>
        <w:widowControl/>
        <w:shd w:val="clear" w:color="auto" w:fill="FFFFFF"/>
        <w:spacing w:line="360" w:lineRule="auto"/>
        <w:ind w:firstLine="480"/>
        <w:jc w:val="left"/>
        <w:rPr>
          <w:color w:val="auto"/>
          <w:kern w:val="0"/>
          <w:sz w:val="24"/>
          <w:highlight w:val="none"/>
          <w:shd w:val="clear" w:color="auto" w:fill="FFFFFF"/>
        </w:rPr>
      </w:pPr>
      <w:r>
        <w:rPr>
          <w:color w:val="auto"/>
          <w:kern w:val="0"/>
          <w:sz w:val="24"/>
          <w:highlight w:val="none"/>
          <w:shd w:val="clear" w:color="auto" w:fill="FFFFFF"/>
        </w:rPr>
        <w:t>4.2 供应商对同一项目多个标段进行投标的，加密电子投标文件应按标段分别提交。</w:t>
      </w:r>
    </w:p>
    <w:p w14:paraId="2F7B3F20">
      <w:pPr>
        <w:widowControl/>
        <w:shd w:val="clear" w:color="auto" w:fill="FFFFFF"/>
        <w:spacing w:line="360" w:lineRule="auto"/>
        <w:jc w:val="left"/>
        <w:rPr>
          <w:color w:val="auto"/>
          <w:kern w:val="0"/>
          <w:sz w:val="24"/>
          <w:highlight w:val="none"/>
        </w:rPr>
      </w:pPr>
      <w:r>
        <w:rPr>
          <w:color w:val="auto"/>
          <w:kern w:val="0"/>
          <w:sz w:val="24"/>
          <w:highlight w:val="none"/>
        </w:rPr>
        <w:t>“不见面”开标注意事项及操作流程</w:t>
      </w:r>
    </w:p>
    <w:p w14:paraId="21DD31AE">
      <w:pPr>
        <w:widowControl/>
        <w:shd w:val="clear" w:color="auto" w:fill="FFFFFF"/>
        <w:spacing w:line="360" w:lineRule="auto"/>
        <w:jc w:val="left"/>
        <w:rPr>
          <w:color w:val="auto"/>
          <w:kern w:val="0"/>
          <w:sz w:val="24"/>
          <w:highlight w:val="none"/>
        </w:rPr>
      </w:pPr>
      <w:r>
        <w:rPr>
          <w:color w:val="auto"/>
          <w:kern w:val="0"/>
          <w:sz w:val="24"/>
          <w:highlight w:val="none"/>
        </w:rPr>
        <w:t>1、开标时，供应商采用网上远程异地解密时，请用CA证书登录平顶山市公共资源交易中心业务系统，进入本项目开标大厅点击解密来完成投标文件的解密工作。每位供应商的解密时间从开标时间起</w:t>
      </w:r>
      <w:r>
        <w:rPr>
          <w:rFonts w:hint="eastAsia"/>
          <w:color w:val="auto"/>
          <w:kern w:val="0"/>
          <w:sz w:val="24"/>
          <w:highlight w:val="none"/>
        </w:rPr>
        <w:t>6</w:t>
      </w:r>
      <w:r>
        <w:rPr>
          <w:color w:val="auto"/>
          <w:kern w:val="0"/>
          <w:sz w:val="24"/>
          <w:highlight w:val="none"/>
        </w:rPr>
        <w:t>0分钟内完成，超过规定时间解密的投标文件不予接收。</w:t>
      </w:r>
    </w:p>
    <w:p w14:paraId="159190F2">
      <w:pPr>
        <w:widowControl/>
        <w:shd w:val="clear" w:color="auto" w:fill="FFFFFF"/>
        <w:spacing w:line="360" w:lineRule="auto"/>
        <w:jc w:val="left"/>
        <w:rPr>
          <w:color w:val="auto"/>
          <w:kern w:val="0"/>
          <w:sz w:val="24"/>
          <w:highlight w:val="none"/>
        </w:rPr>
      </w:pPr>
      <w:r>
        <w:rPr>
          <w:color w:val="auto"/>
          <w:kern w:val="0"/>
          <w:sz w:val="24"/>
          <w:highlight w:val="none"/>
        </w:rPr>
        <w:t>2、如出现供应商的电子投标文件无法解密的情况，供应商应及时联系采购人（代理机构）进行说明。投标文件解密异常，按以下步骤进行处理：</w:t>
      </w:r>
    </w:p>
    <w:p w14:paraId="37E5E554">
      <w:pPr>
        <w:widowControl/>
        <w:shd w:val="clear" w:color="auto" w:fill="FFFFFF"/>
        <w:spacing w:line="360" w:lineRule="auto"/>
        <w:jc w:val="left"/>
        <w:rPr>
          <w:color w:val="auto"/>
          <w:kern w:val="0"/>
          <w:sz w:val="24"/>
          <w:highlight w:val="none"/>
        </w:rPr>
      </w:pPr>
      <w:r>
        <w:rPr>
          <w:color w:val="auto"/>
          <w:kern w:val="0"/>
          <w:sz w:val="24"/>
          <w:highlight w:val="none"/>
        </w:rPr>
        <w:t>（1）如果是投标文件自身问题导致投标文件无法解密的，该投标文件将不予接收、解密。</w:t>
      </w:r>
    </w:p>
    <w:p w14:paraId="46031D5D">
      <w:pPr>
        <w:widowControl/>
        <w:shd w:val="clear" w:color="auto" w:fill="FFFFFF"/>
        <w:spacing w:line="360" w:lineRule="auto"/>
        <w:jc w:val="left"/>
        <w:rPr>
          <w:color w:val="auto"/>
          <w:kern w:val="0"/>
          <w:sz w:val="24"/>
          <w:highlight w:val="none"/>
        </w:rPr>
      </w:pPr>
      <w:r>
        <w:rPr>
          <w:color w:val="auto"/>
          <w:kern w:val="0"/>
          <w:sz w:val="24"/>
          <w:highlight w:val="none"/>
        </w:rPr>
        <w:t>（2）如果是电子化交易系统问题造成投标文件无法解密的，将由技术人员进行排查处理。如短时间内问题无法解决的，将由采购人（代理机构）联系监督部门申请暂停开标，待问题解决后继续开标。</w:t>
      </w:r>
    </w:p>
    <w:p w14:paraId="609C099B">
      <w:pPr>
        <w:widowControl/>
        <w:shd w:val="clear" w:color="auto" w:fill="FFFFFF"/>
        <w:spacing w:line="360" w:lineRule="auto"/>
        <w:jc w:val="left"/>
        <w:rPr>
          <w:color w:val="auto"/>
          <w:kern w:val="0"/>
          <w:sz w:val="24"/>
          <w:highlight w:val="none"/>
        </w:rPr>
      </w:pPr>
      <w:r>
        <w:rPr>
          <w:color w:val="auto"/>
          <w:kern w:val="0"/>
          <w:sz w:val="24"/>
          <w:highlight w:val="none"/>
        </w:rPr>
        <w:t>3、所有投标文件解密完成后，由采购人（代理机构）操作，对开标结果进行公示。</w:t>
      </w:r>
    </w:p>
    <w:p w14:paraId="03AAD094">
      <w:pPr>
        <w:widowControl/>
        <w:shd w:val="clear" w:color="auto" w:fill="FFFFFF"/>
        <w:spacing w:line="360" w:lineRule="auto"/>
        <w:jc w:val="left"/>
        <w:rPr>
          <w:color w:val="auto"/>
          <w:kern w:val="0"/>
          <w:sz w:val="24"/>
          <w:highlight w:val="none"/>
        </w:rPr>
      </w:pPr>
      <w:r>
        <w:rPr>
          <w:color w:val="auto"/>
          <w:kern w:val="0"/>
          <w:sz w:val="24"/>
          <w:highlight w:val="none"/>
        </w:rPr>
        <w:t>4、供应商应保证在开标期间电话、电脑、网络等能够正常使用，供应商因停电、电脑病毒、网络堵塞等原因，未在规定的解密时间内对投标文件进行解密的，其投标文件不予接收。</w:t>
      </w:r>
    </w:p>
    <w:p w14:paraId="3FD8440A">
      <w:pPr>
        <w:widowControl/>
        <w:shd w:val="clear" w:color="auto" w:fill="FFFFFF"/>
        <w:spacing w:line="360" w:lineRule="auto"/>
        <w:jc w:val="left"/>
        <w:rPr>
          <w:color w:val="auto"/>
          <w:kern w:val="0"/>
          <w:sz w:val="24"/>
          <w:highlight w:val="none"/>
        </w:rPr>
      </w:pPr>
      <w:r>
        <w:rPr>
          <w:color w:val="auto"/>
          <w:kern w:val="0"/>
          <w:sz w:val="24"/>
          <w:highlight w:val="none"/>
        </w:rPr>
        <w:t>5、解密完成后，供应商可登录到交易系统查看自己的投标报价。如对自己的报价内容有异议的，应在报价内容显示后</w:t>
      </w:r>
      <w:r>
        <w:rPr>
          <w:rFonts w:hint="eastAsia"/>
          <w:color w:val="auto"/>
          <w:kern w:val="0"/>
          <w:sz w:val="24"/>
          <w:highlight w:val="none"/>
        </w:rPr>
        <w:t>6</w:t>
      </w:r>
      <w:r>
        <w:rPr>
          <w:color w:val="auto"/>
          <w:kern w:val="0"/>
          <w:sz w:val="24"/>
          <w:highlight w:val="none"/>
        </w:rPr>
        <w:t>0分钟内联系采购人（代理机构）进行质疑，供应商未在规定时间内提出质疑的，视为认可开标结果显示内容。</w:t>
      </w:r>
    </w:p>
    <w:p w14:paraId="6C70A4BC">
      <w:pPr>
        <w:pStyle w:val="20"/>
        <w:spacing w:line="520" w:lineRule="exact"/>
        <w:rPr>
          <w:rFonts w:hint="eastAsia" w:ascii="宋体" w:hAnsi="宋体"/>
          <w:color w:val="auto"/>
          <w:sz w:val="28"/>
          <w:szCs w:val="28"/>
          <w:highlight w:val="none"/>
        </w:rPr>
      </w:pPr>
      <w:bookmarkStart w:id="19" w:name="_Toc30241"/>
      <w:bookmarkEnd w:id="19"/>
      <w:bookmarkStart w:id="20" w:name="_Toc513561061"/>
      <w:bookmarkEnd w:id="20"/>
      <w:bookmarkStart w:id="21" w:name="_Toc20925"/>
      <w:bookmarkStart w:id="22" w:name="_Toc6742"/>
      <w:r>
        <w:rPr>
          <w:rFonts w:hint="eastAsia" w:ascii="宋体" w:hAnsi="宋体"/>
          <w:color w:val="auto"/>
          <w:sz w:val="28"/>
          <w:szCs w:val="28"/>
          <w:highlight w:val="none"/>
        </w:rPr>
        <w:t>第二章 供应商须知</w:t>
      </w:r>
      <w:bookmarkEnd w:id="21"/>
      <w:bookmarkEnd w:id="22"/>
    </w:p>
    <w:p w14:paraId="0C24AF6F">
      <w:pPr>
        <w:pStyle w:val="21"/>
        <w:spacing w:before="0" w:after="0" w:line="520" w:lineRule="exact"/>
        <w:ind w:firstLine="482" w:firstLineChars="200"/>
        <w:jc w:val="center"/>
        <w:rPr>
          <w:rFonts w:hint="eastAsia" w:ascii="宋体" w:hAnsi="宋体" w:eastAsia="宋体"/>
          <w:color w:val="auto"/>
          <w:sz w:val="24"/>
          <w:szCs w:val="24"/>
          <w:highlight w:val="none"/>
          <w:shd w:val="clear" w:color="auto" w:fill="FFFFFF"/>
        </w:rPr>
      </w:pPr>
      <w:bookmarkStart w:id="23" w:name="_Toc247085688"/>
      <w:bookmarkStart w:id="24" w:name="_Toc144974496"/>
      <w:bookmarkStart w:id="25" w:name="_Toc246996174"/>
      <w:bookmarkStart w:id="26" w:name="_Toc6667"/>
      <w:bookmarkStart w:id="27" w:name="_Toc152045528"/>
      <w:bookmarkStart w:id="28" w:name="_Toc18281"/>
      <w:bookmarkStart w:id="29" w:name="_Toc152042304"/>
      <w:bookmarkStart w:id="30" w:name="_Toc2865"/>
      <w:bookmarkStart w:id="31" w:name="_Toc179632545"/>
      <w:bookmarkStart w:id="32" w:name="_Toc246996917"/>
      <w:r>
        <w:rPr>
          <w:rFonts w:hint="eastAsia" w:ascii="宋体" w:hAnsi="宋体" w:eastAsia="宋体"/>
          <w:color w:val="auto"/>
          <w:sz w:val="24"/>
          <w:szCs w:val="24"/>
          <w:highlight w:val="none"/>
          <w:shd w:val="clear" w:color="auto" w:fill="FFFFFF"/>
        </w:rPr>
        <w:t>供应商须知前附表</w:t>
      </w:r>
      <w:bookmarkEnd w:id="23"/>
      <w:bookmarkEnd w:id="24"/>
      <w:bookmarkEnd w:id="25"/>
      <w:bookmarkEnd w:id="26"/>
      <w:bookmarkEnd w:id="27"/>
      <w:bookmarkEnd w:id="28"/>
      <w:bookmarkEnd w:id="29"/>
      <w:bookmarkEnd w:id="30"/>
      <w:bookmarkEnd w:id="31"/>
      <w:bookmarkEnd w:id="32"/>
    </w:p>
    <w:tbl>
      <w:tblPr>
        <w:tblStyle w:val="8"/>
        <w:tblW w:w="9059" w:type="dxa"/>
        <w:jc w:val="center"/>
        <w:tblLayout w:type="fixed"/>
        <w:tblCellMar>
          <w:top w:w="0" w:type="dxa"/>
          <w:left w:w="108" w:type="dxa"/>
          <w:bottom w:w="0" w:type="dxa"/>
          <w:right w:w="108" w:type="dxa"/>
        </w:tblCellMar>
      </w:tblPr>
      <w:tblGrid>
        <w:gridCol w:w="905"/>
        <w:gridCol w:w="1814"/>
        <w:gridCol w:w="6340"/>
      </w:tblGrid>
      <w:tr w14:paraId="27FD15CC">
        <w:tblPrEx>
          <w:tblCellMar>
            <w:top w:w="0" w:type="dxa"/>
            <w:left w:w="108" w:type="dxa"/>
            <w:bottom w:w="0" w:type="dxa"/>
            <w:right w:w="108" w:type="dxa"/>
          </w:tblCellMar>
        </w:tblPrEx>
        <w:trPr>
          <w:trHeight w:val="29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DFF0381">
            <w:pPr>
              <w:spacing w:line="520" w:lineRule="exact"/>
              <w:jc w:val="left"/>
              <w:rPr>
                <w:rFonts w:ascii="宋体" w:hAnsi="宋体" w:eastAsia="宋体"/>
                <w:b/>
                <w:color w:val="auto"/>
                <w:sz w:val="24"/>
                <w:highlight w:val="none"/>
              </w:rPr>
            </w:pPr>
            <w:r>
              <w:rPr>
                <w:rFonts w:ascii="宋体" w:hAnsi="宋体" w:eastAsia="宋体"/>
                <w:b/>
                <w:color w:val="auto"/>
                <w:sz w:val="24"/>
                <w:highlight w:val="none"/>
              </w:rPr>
              <w:t>条款号</w:t>
            </w:r>
          </w:p>
        </w:tc>
        <w:tc>
          <w:tcPr>
            <w:tcW w:w="1814" w:type="dxa"/>
            <w:tcBorders>
              <w:top w:val="single" w:color="auto" w:sz="4" w:space="0"/>
              <w:left w:val="single" w:color="auto" w:sz="4" w:space="0"/>
              <w:bottom w:val="single" w:color="auto" w:sz="4" w:space="0"/>
              <w:right w:val="single" w:color="auto" w:sz="4" w:space="0"/>
            </w:tcBorders>
            <w:vAlign w:val="center"/>
          </w:tcPr>
          <w:p w14:paraId="421ADD49">
            <w:pPr>
              <w:spacing w:line="520" w:lineRule="exact"/>
              <w:jc w:val="center"/>
              <w:rPr>
                <w:rFonts w:ascii="宋体" w:hAnsi="宋体" w:eastAsia="宋体"/>
                <w:b/>
                <w:color w:val="auto"/>
                <w:sz w:val="24"/>
                <w:highlight w:val="none"/>
              </w:rPr>
            </w:pPr>
            <w:r>
              <w:rPr>
                <w:rFonts w:ascii="宋体" w:hAnsi="宋体" w:eastAsia="宋体"/>
                <w:b/>
                <w:color w:val="auto"/>
                <w:sz w:val="24"/>
                <w:highlight w:val="none"/>
              </w:rPr>
              <w:t>条款名称</w:t>
            </w:r>
          </w:p>
        </w:tc>
        <w:tc>
          <w:tcPr>
            <w:tcW w:w="6340" w:type="dxa"/>
            <w:tcBorders>
              <w:top w:val="single" w:color="auto" w:sz="4" w:space="0"/>
              <w:left w:val="single" w:color="auto" w:sz="4" w:space="0"/>
              <w:bottom w:val="single" w:color="auto" w:sz="4" w:space="0"/>
              <w:right w:val="single" w:color="auto" w:sz="4" w:space="0"/>
            </w:tcBorders>
            <w:vAlign w:val="center"/>
          </w:tcPr>
          <w:p w14:paraId="3C2BD453">
            <w:pPr>
              <w:spacing w:line="520" w:lineRule="exact"/>
              <w:jc w:val="center"/>
              <w:rPr>
                <w:rFonts w:ascii="宋体" w:hAnsi="宋体" w:eastAsia="宋体"/>
                <w:b/>
                <w:color w:val="auto"/>
                <w:sz w:val="24"/>
                <w:highlight w:val="none"/>
              </w:rPr>
            </w:pPr>
            <w:r>
              <w:rPr>
                <w:rFonts w:ascii="宋体" w:hAnsi="宋体" w:eastAsia="宋体"/>
                <w:b/>
                <w:color w:val="auto"/>
                <w:sz w:val="24"/>
                <w:highlight w:val="none"/>
              </w:rPr>
              <w:t>编列内容</w:t>
            </w:r>
          </w:p>
        </w:tc>
      </w:tr>
      <w:tr w14:paraId="2BC1C07C">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40F3D2E">
            <w:pPr>
              <w:spacing w:line="520" w:lineRule="exact"/>
              <w:jc w:val="left"/>
              <w:rPr>
                <w:rFonts w:ascii="宋体" w:hAnsi="宋体" w:eastAsia="宋体"/>
                <w:color w:val="auto"/>
                <w:sz w:val="24"/>
                <w:highlight w:val="none"/>
              </w:rPr>
            </w:pPr>
            <w:r>
              <w:rPr>
                <w:rFonts w:ascii="宋体" w:hAnsi="宋体" w:eastAsia="宋体"/>
                <w:color w:val="auto"/>
                <w:sz w:val="24"/>
                <w:highlight w:val="none"/>
              </w:rPr>
              <w:t>1.</w:t>
            </w:r>
          </w:p>
        </w:tc>
        <w:tc>
          <w:tcPr>
            <w:tcW w:w="1814" w:type="dxa"/>
            <w:tcBorders>
              <w:top w:val="single" w:color="auto" w:sz="4" w:space="0"/>
              <w:left w:val="single" w:color="auto" w:sz="4" w:space="0"/>
              <w:bottom w:val="single" w:color="auto" w:sz="4" w:space="0"/>
              <w:right w:val="single" w:color="auto" w:sz="4" w:space="0"/>
            </w:tcBorders>
            <w:vAlign w:val="center"/>
          </w:tcPr>
          <w:p w14:paraId="2BFF52E6">
            <w:pPr>
              <w:spacing w:line="520" w:lineRule="exact"/>
              <w:jc w:val="center"/>
              <w:rPr>
                <w:rFonts w:ascii="宋体" w:hAnsi="宋体" w:eastAsia="宋体"/>
                <w:color w:val="auto"/>
                <w:sz w:val="24"/>
                <w:highlight w:val="none"/>
              </w:rPr>
            </w:pPr>
            <w:r>
              <w:rPr>
                <w:rFonts w:ascii="宋体" w:hAnsi="宋体" w:eastAsia="宋体"/>
                <w:color w:val="auto"/>
                <w:sz w:val="24"/>
                <w:highlight w:val="none"/>
              </w:rPr>
              <w:t>采购单位</w:t>
            </w:r>
          </w:p>
        </w:tc>
        <w:tc>
          <w:tcPr>
            <w:tcW w:w="6340" w:type="dxa"/>
            <w:tcBorders>
              <w:top w:val="single" w:color="auto" w:sz="4" w:space="0"/>
              <w:left w:val="single" w:color="auto" w:sz="4" w:space="0"/>
              <w:bottom w:val="single" w:color="auto" w:sz="4" w:space="0"/>
              <w:right w:val="single" w:color="auto" w:sz="4" w:space="0"/>
            </w:tcBorders>
            <w:vAlign w:val="center"/>
          </w:tcPr>
          <w:p w14:paraId="178A4501">
            <w:pPr>
              <w:widowControl/>
              <w:shd w:val="clear" w:color="auto" w:fill="FFFFFF"/>
              <w:snapToGrid w:val="0"/>
              <w:spacing w:line="360" w:lineRule="auto"/>
              <w:jc w:val="left"/>
              <w:rPr>
                <w:rFonts w:ascii="宋体" w:hAnsi="宋体"/>
                <w:color w:val="auto"/>
                <w:kern w:val="0"/>
                <w:sz w:val="24"/>
                <w:szCs w:val="20"/>
                <w:highlight w:val="none"/>
              </w:rPr>
            </w:pPr>
            <w:r>
              <w:rPr>
                <w:rFonts w:ascii="宋体" w:hAnsi="宋体"/>
                <w:color w:val="auto"/>
                <w:kern w:val="0"/>
                <w:sz w:val="24"/>
                <w:szCs w:val="20"/>
                <w:highlight w:val="none"/>
              </w:rPr>
              <w:t>采购单位：鲁山县自然资源局</w:t>
            </w:r>
          </w:p>
          <w:p w14:paraId="07013715">
            <w:pPr>
              <w:widowControl/>
              <w:shd w:val="clear" w:color="auto" w:fill="FFFFFF"/>
              <w:snapToGrid w:val="0"/>
              <w:spacing w:line="360" w:lineRule="auto"/>
              <w:jc w:val="left"/>
              <w:rPr>
                <w:rFonts w:ascii="宋体" w:hAnsi="宋体"/>
                <w:color w:val="auto"/>
                <w:kern w:val="0"/>
                <w:sz w:val="24"/>
                <w:szCs w:val="20"/>
                <w:highlight w:val="none"/>
              </w:rPr>
            </w:pPr>
            <w:r>
              <w:rPr>
                <w:rFonts w:ascii="宋体" w:hAnsi="宋体"/>
                <w:color w:val="auto"/>
                <w:kern w:val="0"/>
                <w:sz w:val="24"/>
                <w:szCs w:val="20"/>
                <w:highlight w:val="none"/>
              </w:rPr>
              <w:t>地 址：鲁山县鲁平大道西段金泽电器院内</w:t>
            </w:r>
          </w:p>
          <w:p w14:paraId="2D2BFA8D">
            <w:pPr>
              <w:widowControl/>
              <w:shd w:val="clear" w:color="auto" w:fill="FFFFFF"/>
              <w:snapToGrid w:val="0"/>
              <w:spacing w:line="360" w:lineRule="auto"/>
              <w:jc w:val="left"/>
              <w:rPr>
                <w:rFonts w:hint="eastAsia" w:ascii="宋体" w:hAnsi="宋体" w:eastAsia="宋体"/>
                <w:color w:val="auto"/>
                <w:kern w:val="0"/>
                <w:sz w:val="24"/>
                <w:szCs w:val="20"/>
                <w:highlight w:val="none"/>
                <w:lang w:eastAsia="zh-CN"/>
              </w:rPr>
            </w:pPr>
            <w:r>
              <w:rPr>
                <w:rFonts w:ascii="宋体" w:hAnsi="宋体"/>
                <w:color w:val="auto"/>
                <w:kern w:val="0"/>
                <w:sz w:val="24"/>
                <w:szCs w:val="20"/>
                <w:highlight w:val="none"/>
              </w:rPr>
              <w:t>联系人：</w:t>
            </w:r>
            <w:r>
              <w:rPr>
                <w:rFonts w:hint="eastAsia" w:ascii="宋体" w:hAnsi="宋体"/>
                <w:color w:val="auto"/>
                <w:kern w:val="0"/>
                <w:sz w:val="24"/>
                <w:szCs w:val="20"/>
                <w:highlight w:val="none"/>
                <w:lang w:eastAsia="zh-CN"/>
              </w:rPr>
              <w:t>王先生</w:t>
            </w:r>
          </w:p>
          <w:p w14:paraId="2BF9E20A">
            <w:pPr>
              <w:widowControl/>
              <w:shd w:val="clear" w:color="auto" w:fill="FFFFFF"/>
              <w:snapToGrid w:val="0"/>
              <w:spacing w:line="360" w:lineRule="auto"/>
              <w:jc w:val="left"/>
              <w:rPr>
                <w:rFonts w:hint="eastAsia" w:ascii="宋体" w:hAnsi="宋体" w:eastAsia="宋体"/>
                <w:color w:val="auto"/>
                <w:kern w:val="0"/>
                <w:sz w:val="24"/>
                <w:szCs w:val="20"/>
                <w:highlight w:val="none"/>
                <w:lang w:eastAsia="zh-CN"/>
              </w:rPr>
            </w:pPr>
            <w:r>
              <w:rPr>
                <w:rFonts w:ascii="宋体" w:hAnsi="宋体"/>
                <w:color w:val="auto"/>
                <w:kern w:val="0"/>
                <w:sz w:val="24"/>
                <w:szCs w:val="20"/>
                <w:highlight w:val="none"/>
              </w:rPr>
              <w:t>电话：</w:t>
            </w:r>
            <w:r>
              <w:rPr>
                <w:rFonts w:hint="eastAsia" w:ascii="宋体" w:hAnsi="宋体"/>
                <w:color w:val="auto"/>
                <w:kern w:val="0"/>
                <w:sz w:val="24"/>
                <w:szCs w:val="20"/>
                <w:highlight w:val="none"/>
                <w:lang w:eastAsia="zh-CN"/>
              </w:rPr>
              <w:t>15093759552</w:t>
            </w:r>
          </w:p>
        </w:tc>
      </w:tr>
      <w:tr w14:paraId="36DAB2A5">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003E768">
            <w:pPr>
              <w:spacing w:line="520" w:lineRule="exact"/>
              <w:jc w:val="left"/>
              <w:rPr>
                <w:rFonts w:ascii="宋体" w:hAnsi="宋体" w:eastAsia="宋体"/>
                <w:color w:val="auto"/>
                <w:sz w:val="24"/>
                <w:highlight w:val="none"/>
              </w:rPr>
            </w:pPr>
            <w:r>
              <w:rPr>
                <w:rFonts w:ascii="宋体" w:hAnsi="宋体" w:eastAsia="宋体"/>
                <w:color w:val="auto"/>
                <w:sz w:val="24"/>
                <w:highlight w:val="none"/>
              </w:rPr>
              <w:t>2.</w:t>
            </w:r>
          </w:p>
        </w:tc>
        <w:tc>
          <w:tcPr>
            <w:tcW w:w="1814" w:type="dxa"/>
            <w:tcBorders>
              <w:top w:val="single" w:color="auto" w:sz="4" w:space="0"/>
              <w:left w:val="single" w:color="auto" w:sz="4" w:space="0"/>
              <w:bottom w:val="single" w:color="auto" w:sz="4" w:space="0"/>
              <w:right w:val="single" w:color="auto" w:sz="4" w:space="0"/>
            </w:tcBorders>
            <w:vAlign w:val="center"/>
          </w:tcPr>
          <w:p w14:paraId="02851043">
            <w:pPr>
              <w:spacing w:line="520" w:lineRule="exact"/>
              <w:jc w:val="center"/>
              <w:rPr>
                <w:rFonts w:ascii="宋体" w:hAnsi="宋体" w:eastAsia="宋体"/>
                <w:color w:val="auto"/>
                <w:sz w:val="24"/>
                <w:highlight w:val="none"/>
              </w:rPr>
            </w:pPr>
            <w:r>
              <w:rPr>
                <w:rFonts w:ascii="宋体" w:hAnsi="宋体" w:eastAsia="宋体"/>
                <w:color w:val="auto"/>
                <w:sz w:val="24"/>
                <w:highlight w:val="none"/>
              </w:rPr>
              <w:t>采购代理机构</w:t>
            </w:r>
          </w:p>
        </w:tc>
        <w:tc>
          <w:tcPr>
            <w:tcW w:w="6340" w:type="dxa"/>
            <w:tcBorders>
              <w:top w:val="single" w:color="auto" w:sz="4" w:space="0"/>
              <w:left w:val="single" w:color="auto" w:sz="4" w:space="0"/>
              <w:bottom w:val="single" w:color="auto" w:sz="4" w:space="0"/>
              <w:right w:val="single" w:color="auto" w:sz="4" w:space="0"/>
            </w:tcBorders>
            <w:vAlign w:val="center"/>
          </w:tcPr>
          <w:p w14:paraId="198A4A11">
            <w:pPr>
              <w:widowControl/>
              <w:shd w:val="clear" w:color="auto" w:fill="FFFFFF"/>
              <w:snapToGrid w:val="0"/>
              <w:spacing w:line="360" w:lineRule="auto"/>
              <w:jc w:val="left"/>
              <w:rPr>
                <w:rFonts w:hint="eastAsia" w:ascii="宋体" w:hAnsi="宋体" w:eastAsia="宋体"/>
                <w:color w:val="auto"/>
                <w:sz w:val="24"/>
                <w:highlight w:val="none"/>
                <w:lang w:eastAsia="zh-CN"/>
              </w:rPr>
            </w:pPr>
            <w:r>
              <w:rPr>
                <w:rFonts w:ascii="宋体" w:hAnsi="宋体" w:eastAsia="宋体"/>
                <w:color w:val="auto"/>
                <w:sz w:val="24"/>
                <w:highlight w:val="none"/>
              </w:rPr>
              <w:t>采购代理机构：</w:t>
            </w:r>
            <w:r>
              <w:rPr>
                <w:rFonts w:hint="eastAsia" w:ascii="宋体" w:hAnsi="宋体"/>
                <w:color w:val="auto"/>
                <w:sz w:val="24"/>
                <w:highlight w:val="none"/>
                <w:lang w:eastAsia="zh-CN"/>
              </w:rPr>
              <w:t>河南舒翔工程管理有限公司</w:t>
            </w:r>
          </w:p>
          <w:p w14:paraId="0BF7FF51">
            <w:pPr>
              <w:widowControl/>
              <w:shd w:val="clear" w:color="auto" w:fill="FFFFFF"/>
              <w:snapToGrid w:val="0"/>
              <w:spacing w:line="360" w:lineRule="auto"/>
              <w:jc w:val="left"/>
              <w:rPr>
                <w:rFonts w:hint="eastAsia" w:ascii="宋体" w:hAnsi="宋体" w:eastAsia="宋体"/>
                <w:color w:val="auto"/>
                <w:sz w:val="24"/>
                <w:highlight w:val="none"/>
                <w:lang w:eastAsia="zh-CN"/>
              </w:rPr>
            </w:pPr>
            <w:r>
              <w:rPr>
                <w:rFonts w:ascii="宋体" w:hAnsi="宋体" w:eastAsia="宋体"/>
                <w:color w:val="auto"/>
                <w:sz w:val="24"/>
                <w:highlight w:val="none"/>
              </w:rPr>
              <w:t>地  址：</w:t>
            </w:r>
            <w:r>
              <w:rPr>
                <w:rFonts w:hint="eastAsia" w:ascii="宋体" w:hAnsi="宋体"/>
                <w:color w:val="auto"/>
                <w:sz w:val="24"/>
                <w:highlight w:val="none"/>
                <w:lang w:eastAsia="zh-CN"/>
              </w:rPr>
              <w:t>河南省郑州市郑东新区永平路与康平路交叉口（郑东商业中心）C区1号楼9层902号</w:t>
            </w:r>
          </w:p>
          <w:p w14:paraId="3B14E772">
            <w:pPr>
              <w:widowControl/>
              <w:shd w:val="clear" w:color="auto" w:fill="FFFFFF"/>
              <w:snapToGrid w:val="0"/>
              <w:spacing w:line="360" w:lineRule="auto"/>
              <w:jc w:val="left"/>
              <w:rPr>
                <w:rFonts w:ascii="宋体" w:hAnsi="宋体" w:eastAsia="宋体"/>
                <w:color w:val="auto"/>
                <w:sz w:val="24"/>
                <w:highlight w:val="none"/>
              </w:rPr>
            </w:pPr>
            <w:r>
              <w:rPr>
                <w:rFonts w:ascii="宋体" w:hAnsi="宋体" w:eastAsia="宋体"/>
                <w:color w:val="auto"/>
                <w:sz w:val="24"/>
                <w:highlight w:val="none"/>
              </w:rPr>
              <w:t>联系人：</w:t>
            </w:r>
            <w:r>
              <w:rPr>
                <w:rFonts w:hint="eastAsia" w:ascii="宋体" w:hAnsi="宋体"/>
                <w:color w:val="auto"/>
                <w:sz w:val="24"/>
                <w:highlight w:val="none"/>
                <w:lang w:eastAsia="zh-CN"/>
              </w:rPr>
              <w:t>王先生</w:t>
            </w:r>
            <w:r>
              <w:rPr>
                <w:rFonts w:ascii="宋体" w:hAnsi="宋体" w:eastAsia="宋体"/>
                <w:color w:val="auto"/>
                <w:sz w:val="24"/>
                <w:highlight w:val="none"/>
              </w:rPr>
              <w:t xml:space="preserve">   </w:t>
            </w:r>
          </w:p>
          <w:p w14:paraId="533E9D43">
            <w:pPr>
              <w:widowControl/>
              <w:shd w:val="clear" w:color="auto" w:fill="FFFFFF"/>
              <w:snapToGrid w:val="0"/>
              <w:spacing w:line="360" w:lineRule="auto"/>
              <w:jc w:val="left"/>
              <w:rPr>
                <w:rFonts w:hint="eastAsia" w:ascii="宋体" w:hAnsi="宋体" w:eastAsia="宋体"/>
                <w:color w:val="auto"/>
                <w:sz w:val="24"/>
                <w:highlight w:val="none"/>
                <w:lang w:eastAsia="zh-CN"/>
              </w:rPr>
            </w:pPr>
            <w:r>
              <w:rPr>
                <w:rFonts w:ascii="宋体" w:hAnsi="宋体" w:eastAsia="宋体"/>
                <w:color w:val="auto"/>
                <w:sz w:val="24"/>
                <w:highlight w:val="none"/>
              </w:rPr>
              <w:t>联系电话：</w:t>
            </w:r>
            <w:r>
              <w:rPr>
                <w:rFonts w:hint="eastAsia" w:ascii="宋体" w:hAnsi="宋体"/>
                <w:color w:val="auto"/>
                <w:sz w:val="24"/>
                <w:highlight w:val="none"/>
                <w:lang w:eastAsia="zh-CN"/>
              </w:rPr>
              <w:t>15137566456</w:t>
            </w:r>
          </w:p>
        </w:tc>
      </w:tr>
      <w:tr w14:paraId="66D901DB">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33E9C5B">
            <w:pPr>
              <w:spacing w:line="520" w:lineRule="exact"/>
              <w:jc w:val="left"/>
              <w:rPr>
                <w:rFonts w:ascii="宋体" w:hAnsi="宋体" w:eastAsia="宋体"/>
                <w:color w:val="auto"/>
                <w:sz w:val="24"/>
                <w:highlight w:val="none"/>
              </w:rPr>
            </w:pPr>
            <w:r>
              <w:rPr>
                <w:rFonts w:ascii="宋体" w:hAnsi="宋体" w:eastAsia="宋体"/>
                <w:color w:val="auto"/>
                <w:sz w:val="24"/>
                <w:highlight w:val="none"/>
              </w:rPr>
              <w:t>3.</w:t>
            </w:r>
          </w:p>
        </w:tc>
        <w:tc>
          <w:tcPr>
            <w:tcW w:w="1814" w:type="dxa"/>
            <w:tcBorders>
              <w:top w:val="single" w:color="auto" w:sz="4" w:space="0"/>
              <w:left w:val="single" w:color="auto" w:sz="4" w:space="0"/>
              <w:bottom w:val="single" w:color="auto" w:sz="4" w:space="0"/>
              <w:right w:val="single" w:color="auto" w:sz="4" w:space="0"/>
            </w:tcBorders>
            <w:vAlign w:val="center"/>
          </w:tcPr>
          <w:p w14:paraId="339907F7">
            <w:pPr>
              <w:spacing w:line="520" w:lineRule="exact"/>
              <w:jc w:val="center"/>
              <w:rPr>
                <w:rFonts w:ascii="宋体" w:hAnsi="宋体" w:eastAsia="宋体"/>
                <w:color w:val="auto"/>
                <w:sz w:val="24"/>
                <w:highlight w:val="none"/>
              </w:rPr>
            </w:pPr>
            <w:r>
              <w:rPr>
                <w:rFonts w:ascii="宋体" w:hAnsi="宋体" w:eastAsia="宋体"/>
                <w:color w:val="auto"/>
                <w:sz w:val="24"/>
                <w:highlight w:val="none"/>
              </w:rPr>
              <w:t>项目名称</w:t>
            </w:r>
          </w:p>
        </w:tc>
        <w:tc>
          <w:tcPr>
            <w:tcW w:w="6340" w:type="dxa"/>
            <w:tcBorders>
              <w:top w:val="single" w:color="auto" w:sz="4" w:space="0"/>
              <w:left w:val="single" w:color="auto" w:sz="4" w:space="0"/>
              <w:bottom w:val="single" w:color="auto" w:sz="4" w:space="0"/>
              <w:right w:val="single" w:color="auto" w:sz="4" w:space="0"/>
            </w:tcBorders>
            <w:vAlign w:val="bottom"/>
          </w:tcPr>
          <w:p w14:paraId="3BF02ADE">
            <w:pPr>
              <w:spacing w:line="360" w:lineRule="auto"/>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鲁山县自然资源局鲁山县地质灾害防治“十五五”规划项目</w:t>
            </w:r>
          </w:p>
        </w:tc>
      </w:tr>
      <w:tr w14:paraId="20E86194">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36EF614">
            <w:pPr>
              <w:spacing w:line="520" w:lineRule="exact"/>
              <w:jc w:val="left"/>
              <w:rPr>
                <w:rFonts w:ascii="宋体" w:hAnsi="宋体" w:eastAsia="宋体"/>
                <w:color w:val="auto"/>
                <w:sz w:val="24"/>
                <w:highlight w:val="none"/>
              </w:rPr>
            </w:pPr>
            <w:r>
              <w:rPr>
                <w:rFonts w:ascii="宋体" w:hAnsi="宋体" w:eastAsia="宋体"/>
                <w:color w:val="auto"/>
                <w:sz w:val="24"/>
                <w:highlight w:val="none"/>
              </w:rPr>
              <w:t>4.</w:t>
            </w:r>
          </w:p>
        </w:tc>
        <w:tc>
          <w:tcPr>
            <w:tcW w:w="1814" w:type="dxa"/>
            <w:tcBorders>
              <w:top w:val="single" w:color="auto" w:sz="4" w:space="0"/>
              <w:left w:val="single" w:color="auto" w:sz="4" w:space="0"/>
              <w:bottom w:val="single" w:color="auto" w:sz="4" w:space="0"/>
              <w:right w:val="single" w:color="auto" w:sz="4" w:space="0"/>
            </w:tcBorders>
            <w:vAlign w:val="center"/>
          </w:tcPr>
          <w:p w14:paraId="3B0BB9BA">
            <w:pPr>
              <w:spacing w:line="520" w:lineRule="exact"/>
              <w:jc w:val="center"/>
              <w:rPr>
                <w:rFonts w:ascii="宋体" w:hAnsi="宋体" w:eastAsia="宋体"/>
                <w:color w:val="auto"/>
                <w:sz w:val="24"/>
                <w:highlight w:val="none"/>
              </w:rPr>
            </w:pPr>
            <w:r>
              <w:rPr>
                <w:rFonts w:ascii="宋体" w:hAnsi="宋体" w:eastAsia="宋体"/>
                <w:color w:val="auto"/>
                <w:sz w:val="24"/>
                <w:highlight w:val="none"/>
              </w:rPr>
              <w:t>资金来源及落实情况</w:t>
            </w:r>
          </w:p>
        </w:tc>
        <w:tc>
          <w:tcPr>
            <w:tcW w:w="6340" w:type="dxa"/>
            <w:tcBorders>
              <w:top w:val="single" w:color="auto" w:sz="4" w:space="0"/>
              <w:left w:val="single" w:color="auto" w:sz="4" w:space="0"/>
              <w:bottom w:val="single" w:color="auto" w:sz="4" w:space="0"/>
              <w:right w:val="single" w:color="auto" w:sz="4" w:space="0"/>
            </w:tcBorders>
            <w:vAlign w:val="center"/>
          </w:tcPr>
          <w:p w14:paraId="15DA30D1">
            <w:pPr>
              <w:spacing w:line="520" w:lineRule="exact"/>
              <w:jc w:val="left"/>
              <w:rPr>
                <w:rFonts w:ascii="宋体" w:hAnsi="宋体" w:eastAsia="宋体"/>
                <w:color w:val="auto"/>
                <w:sz w:val="24"/>
                <w:highlight w:val="none"/>
              </w:rPr>
            </w:pPr>
            <w:r>
              <w:rPr>
                <w:rFonts w:ascii="宋体" w:hAnsi="宋体" w:eastAsia="宋体"/>
                <w:color w:val="auto"/>
                <w:sz w:val="24"/>
                <w:highlight w:val="none"/>
              </w:rPr>
              <w:t>财政资金，已落实</w:t>
            </w:r>
          </w:p>
        </w:tc>
      </w:tr>
      <w:tr w14:paraId="7F07489E">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4D7E7CA">
            <w:pPr>
              <w:spacing w:line="520" w:lineRule="exact"/>
              <w:jc w:val="left"/>
              <w:rPr>
                <w:rFonts w:ascii="宋体" w:hAnsi="宋体" w:eastAsia="宋体"/>
                <w:color w:val="auto"/>
                <w:sz w:val="24"/>
                <w:highlight w:val="none"/>
              </w:rPr>
            </w:pPr>
            <w:r>
              <w:rPr>
                <w:rFonts w:ascii="宋体" w:hAnsi="宋体" w:eastAsia="宋体"/>
                <w:color w:val="auto"/>
                <w:sz w:val="24"/>
                <w:highlight w:val="none"/>
              </w:rPr>
              <w:t>5.</w:t>
            </w:r>
          </w:p>
        </w:tc>
        <w:tc>
          <w:tcPr>
            <w:tcW w:w="1814" w:type="dxa"/>
            <w:tcBorders>
              <w:top w:val="single" w:color="auto" w:sz="4" w:space="0"/>
              <w:left w:val="single" w:color="auto" w:sz="4" w:space="0"/>
              <w:bottom w:val="single" w:color="auto" w:sz="4" w:space="0"/>
              <w:right w:val="single" w:color="auto" w:sz="4" w:space="0"/>
            </w:tcBorders>
            <w:vAlign w:val="center"/>
          </w:tcPr>
          <w:p w14:paraId="37597EA0">
            <w:pPr>
              <w:spacing w:line="520" w:lineRule="exact"/>
              <w:jc w:val="center"/>
              <w:rPr>
                <w:rFonts w:ascii="宋体" w:hAnsi="宋体" w:eastAsia="宋体"/>
                <w:color w:val="auto"/>
                <w:sz w:val="24"/>
                <w:highlight w:val="none"/>
              </w:rPr>
            </w:pPr>
            <w:r>
              <w:rPr>
                <w:rFonts w:ascii="宋体" w:hAnsi="宋体" w:eastAsia="宋体"/>
                <w:color w:val="auto"/>
                <w:sz w:val="24"/>
                <w:highlight w:val="none"/>
              </w:rPr>
              <w:t>采购内容</w:t>
            </w:r>
          </w:p>
        </w:tc>
        <w:tc>
          <w:tcPr>
            <w:tcW w:w="6340" w:type="dxa"/>
            <w:tcBorders>
              <w:top w:val="single" w:color="auto" w:sz="4" w:space="0"/>
              <w:left w:val="single" w:color="auto" w:sz="4" w:space="0"/>
              <w:bottom w:val="single" w:color="auto" w:sz="4" w:space="0"/>
              <w:right w:val="single" w:color="auto" w:sz="4" w:space="0"/>
            </w:tcBorders>
            <w:vAlign w:val="center"/>
          </w:tcPr>
          <w:p w14:paraId="7292BEC7">
            <w:pPr>
              <w:jc w:val="left"/>
              <w:rPr>
                <w:rFonts w:ascii="宋体" w:hAnsi="宋体"/>
                <w:color w:val="auto"/>
                <w:sz w:val="24"/>
                <w:highlight w:val="none"/>
              </w:rPr>
            </w:pPr>
            <w:r>
              <w:rPr>
                <w:rFonts w:hint="eastAsia" w:ascii="宋体" w:hAnsi="宋体"/>
                <w:color w:val="auto"/>
                <w:sz w:val="24"/>
                <w:highlight w:val="none"/>
                <w:lang w:eastAsia="zh-CN"/>
              </w:rPr>
              <w:t>鲁山县地质灾害防治“十五五”规划项目，按现行的国家、省、市相关技术规范、标准及行业要求编制鲁山县地质灾害防治“十五五”规划（2026-2030年）文本、编制（修编）说明、规划附表、规划图件、数据库建设等。</w:t>
            </w:r>
          </w:p>
        </w:tc>
      </w:tr>
      <w:tr w14:paraId="3E28BA7F">
        <w:tblPrEx>
          <w:tblCellMar>
            <w:top w:w="0" w:type="dxa"/>
            <w:left w:w="108" w:type="dxa"/>
            <w:bottom w:w="0" w:type="dxa"/>
            <w:right w:w="108" w:type="dxa"/>
          </w:tblCellMar>
        </w:tblPrEx>
        <w:trPr>
          <w:trHeight w:val="271"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33CFD39">
            <w:pPr>
              <w:spacing w:line="520" w:lineRule="exact"/>
              <w:jc w:val="left"/>
              <w:rPr>
                <w:rFonts w:ascii="宋体" w:hAnsi="宋体" w:eastAsia="宋体"/>
                <w:color w:val="auto"/>
                <w:sz w:val="24"/>
                <w:highlight w:val="none"/>
              </w:rPr>
            </w:pPr>
            <w:r>
              <w:rPr>
                <w:rFonts w:ascii="宋体" w:hAnsi="宋体" w:eastAsia="宋体"/>
                <w:color w:val="auto"/>
                <w:sz w:val="24"/>
                <w:highlight w:val="none"/>
              </w:rPr>
              <w:t>6.</w:t>
            </w:r>
          </w:p>
        </w:tc>
        <w:tc>
          <w:tcPr>
            <w:tcW w:w="1814" w:type="dxa"/>
            <w:tcBorders>
              <w:top w:val="single" w:color="auto" w:sz="4" w:space="0"/>
              <w:left w:val="single" w:color="auto" w:sz="4" w:space="0"/>
              <w:bottom w:val="single" w:color="auto" w:sz="4" w:space="0"/>
              <w:right w:val="single" w:color="auto" w:sz="4" w:space="0"/>
            </w:tcBorders>
            <w:vAlign w:val="center"/>
          </w:tcPr>
          <w:p w14:paraId="70124E92">
            <w:pPr>
              <w:spacing w:line="520" w:lineRule="exact"/>
              <w:jc w:val="center"/>
              <w:rPr>
                <w:rFonts w:ascii="宋体" w:hAnsi="宋体" w:eastAsia="宋体"/>
                <w:color w:val="auto"/>
                <w:sz w:val="24"/>
                <w:highlight w:val="none"/>
              </w:rPr>
            </w:pPr>
            <w:r>
              <w:rPr>
                <w:rFonts w:ascii="宋体" w:hAnsi="宋体" w:eastAsia="宋体"/>
                <w:color w:val="auto"/>
                <w:sz w:val="24"/>
                <w:highlight w:val="none"/>
              </w:rPr>
              <w:t>采购方式</w:t>
            </w:r>
          </w:p>
        </w:tc>
        <w:tc>
          <w:tcPr>
            <w:tcW w:w="6340" w:type="dxa"/>
            <w:tcBorders>
              <w:top w:val="single" w:color="auto" w:sz="4" w:space="0"/>
              <w:left w:val="single" w:color="auto" w:sz="4" w:space="0"/>
              <w:bottom w:val="single" w:color="auto" w:sz="4" w:space="0"/>
              <w:right w:val="single" w:color="auto" w:sz="4" w:space="0"/>
            </w:tcBorders>
            <w:vAlign w:val="center"/>
          </w:tcPr>
          <w:p w14:paraId="067590A0">
            <w:pPr>
              <w:widowControl/>
              <w:spacing w:line="520" w:lineRule="exact"/>
              <w:jc w:val="left"/>
              <w:rPr>
                <w:rFonts w:ascii="宋体" w:hAnsi="宋体" w:eastAsia="宋体"/>
                <w:color w:val="auto"/>
                <w:sz w:val="24"/>
                <w:highlight w:val="none"/>
              </w:rPr>
            </w:pPr>
            <w:r>
              <w:rPr>
                <w:rFonts w:ascii="宋体" w:hAnsi="宋体" w:eastAsia="宋体"/>
                <w:color w:val="auto"/>
                <w:sz w:val="24"/>
                <w:highlight w:val="none"/>
              </w:rPr>
              <w:t>竞争性磋商</w:t>
            </w:r>
          </w:p>
        </w:tc>
      </w:tr>
      <w:tr w14:paraId="53E0BF60">
        <w:tblPrEx>
          <w:tblCellMar>
            <w:top w:w="0" w:type="dxa"/>
            <w:left w:w="108" w:type="dxa"/>
            <w:bottom w:w="0" w:type="dxa"/>
            <w:right w:w="108" w:type="dxa"/>
          </w:tblCellMar>
        </w:tblPrEx>
        <w:trPr>
          <w:trHeight w:val="23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54E5842">
            <w:pPr>
              <w:spacing w:line="520" w:lineRule="exact"/>
              <w:jc w:val="left"/>
              <w:rPr>
                <w:rFonts w:ascii="宋体" w:hAnsi="宋体" w:eastAsia="宋体"/>
                <w:color w:val="auto"/>
                <w:sz w:val="24"/>
                <w:highlight w:val="none"/>
              </w:rPr>
            </w:pPr>
            <w:r>
              <w:rPr>
                <w:rFonts w:ascii="宋体" w:hAnsi="宋体" w:eastAsia="宋体"/>
                <w:color w:val="auto"/>
                <w:sz w:val="24"/>
                <w:highlight w:val="none"/>
              </w:rPr>
              <w:t>7.</w:t>
            </w:r>
          </w:p>
        </w:tc>
        <w:tc>
          <w:tcPr>
            <w:tcW w:w="1814" w:type="dxa"/>
            <w:tcBorders>
              <w:top w:val="single" w:color="auto" w:sz="4" w:space="0"/>
              <w:left w:val="single" w:color="auto" w:sz="4" w:space="0"/>
              <w:bottom w:val="single" w:color="auto" w:sz="4" w:space="0"/>
              <w:right w:val="single" w:color="auto" w:sz="4" w:space="0"/>
            </w:tcBorders>
            <w:vAlign w:val="center"/>
          </w:tcPr>
          <w:p w14:paraId="3B74133B">
            <w:pPr>
              <w:spacing w:line="520" w:lineRule="exact"/>
              <w:jc w:val="center"/>
              <w:rPr>
                <w:rFonts w:ascii="宋体" w:hAnsi="宋体" w:eastAsia="宋体"/>
                <w:color w:val="auto"/>
                <w:sz w:val="24"/>
                <w:highlight w:val="none"/>
              </w:rPr>
            </w:pPr>
            <w:r>
              <w:rPr>
                <w:rFonts w:ascii="宋体" w:hAnsi="宋体" w:eastAsia="宋体"/>
                <w:color w:val="auto"/>
                <w:sz w:val="24"/>
                <w:highlight w:val="none"/>
              </w:rPr>
              <w:t>采购项目属性</w:t>
            </w:r>
          </w:p>
        </w:tc>
        <w:tc>
          <w:tcPr>
            <w:tcW w:w="6340" w:type="dxa"/>
            <w:tcBorders>
              <w:top w:val="single" w:color="auto" w:sz="4" w:space="0"/>
              <w:left w:val="single" w:color="auto" w:sz="4" w:space="0"/>
              <w:bottom w:val="single" w:color="auto" w:sz="4" w:space="0"/>
              <w:right w:val="single" w:color="auto" w:sz="4" w:space="0"/>
            </w:tcBorders>
            <w:vAlign w:val="center"/>
          </w:tcPr>
          <w:p w14:paraId="115431DC">
            <w:pPr>
              <w:spacing w:line="520" w:lineRule="exact"/>
              <w:ind w:firstLine="480" w:firstLineChars="200"/>
              <w:jc w:val="left"/>
              <w:rPr>
                <w:rFonts w:ascii="宋体" w:hAnsi="宋体" w:eastAsia="宋体"/>
                <w:color w:val="auto"/>
                <w:sz w:val="24"/>
                <w:highlight w:val="none"/>
              </w:rPr>
            </w:pPr>
            <w:r>
              <w:rPr>
                <w:rFonts w:ascii="宋体" w:hAnsi="宋体" w:eastAsia="宋体"/>
                <w:color w:val="auto"/>
                <w:sz w:val="24"/>
                <w:highlight w:val="none"/>
              </w:rPr>
              <w:t>□货物       ☑服务       □工程</w:t>
            </w:r>
          </w:p>
        </w:tc>
      </w:tr>
      <w:tr w14:paraId="6FC20295">
        <w:tblPrEx>
          <w:tblCellMar>
            <w:top w:w="0" w:type="dxa"/>
            <w:left w:w="108" w:type="dxa"/>
            <w:bottom w:w="0" w:type="dxa"/>
            <w:right w:w="108" w:type="dxa"/>
          </w:tblCellMar>
        </w:tblPrEx>
        <w:trPr>
          <w:trHeight w:val="23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CE3AFAB">
            <w:pPr>
              <w:spacing w:line="520" w:lineRule="exact"/>
              <w:jc w:val="left"/>
              <w:rPr>
                <w:rFonts w:ascii="宋体" w:hAnsi="宋体" w:eastAsia="宋体"/>
                <w:color w:val="auto"/>
                <w:sz w:val="24"/>
                <w:highlight w:val="none"/>
              </w:rPr>
            </w:pPr>
            <w:r>
              <w:rPr>
                <w:rFonts w:ascii="宋体" w:hAnsi="宋体" w:eastAsia="宋体"/>
                <w:color w:val="auto"/>
                <w:sz w:val="24"/>
                <w:highlight w:val="none"/>
              </w:rPr>
              <w:t>8</w:t>
            </w:r>
          </w:p>
        </w:tc>
        <w:tc>
          <w:tcPr>
            <w:tcW w:w="1814" w:type="dxa"/>
            <w:tcBorders>
              <w:top w:val="single" w:color="auto" w:sz="4" w:space="0"/>
              <w:left w:val="single" w:color="auto" w:sz="4" w:space="0"/>
              <w:bottom w:val="single" w:color="auto" w:sz="4" w:space="0"/>
              <w:right w:val="single" w:color="auto" w:sz="4" w:space="0"/>
            </w:tcBorders>
            <w:vAlign w:val="center"/>
          </w:tcPr>
          <w:p w14:paraId="1DDB6C9A">
            <w:pPr>
              <w:spacing w:line="520" w:lineRule="exact"/>
              <w:jc w:val="left"/>
              <w:rPr>
                <w:rFonts w:ascii="宋体" w:hAnsi="宋体" w:eastAsia="宋体"/>
                <w:color w:val="auto"/>
                <w:sz w:val="24"/>
                <w:highlight w:val="none"/>
              </w:rPr>
            </w:pPr>
            <w:r>
              <w:rPr>
                <w:rFonts w:ascii="宋体" w:hAnsi="宋体" w:eastAsia="宋体"/>
                <w:color w:val="auto"/>
                <w:sz w:val="24"/>
                <w:highlight w:val="none"/>
              </w:rPr>
              <w:t>合同履行期限</w:t>
            </w:r>
          </w:p>
        </w:tc>
        <w:tc>
          <w:tcPr>
            <w:tcW w:w="6340" w:type="dxa"/>
            <w:tcBorders>
              <w:top w:val="single" w:color="auto" w:sz="4" w:space="0"/>
              <w:left w:val="single" w:color="auto" w:sz="4" w:space="0"/>
              <w:bottom w:val="single" w:color="auto" w:sz="4" w:space="0"/>
              <w:right w:val="single" w:color="auto" w:sz="4" w:space="0"/>
            </w:tcBorders>
            <w:vAlign w:val="center"/>
          </w:tcPr>
          <w:p w14:paraId="55DCC560">
            <w:pPr>
              <w:spacing w:line="520" w:lineRule="exact"/>
              <w:jc w:val="left"/>
              <w:rPr>
                <w:rFonts w:ascii="宋体" w:hAnsi="宋体"/>
                <w:color w:val="auto"/>
                <w:sz w:val="24"/>
                <w:highlight w:val="none"/>
                <w:shd w:val="clear" w:color="auto" w:fill="FFFFFF"/>
                <w:lang w:bidi="ar"/>
              </w:rPr>
            </w:pPr>
            <w:r>
              <w:rPr>
                <w:rFonts w:ascii="宋体" w:hAnsi="宋体"/>
                <w:color w:val="auto"/>
                <w:sz w:val="24"/>
                <w:highlight w:val="none"/>
                <w:shd w:val="clear" w:color="auto" w:fill="FFFFFF"/>
                <w:lang w:bidi="ar"/>
              </w:rPr>
              <w:t>同“服务期限”</w:t>
            </w:r>
          </w:p>
        </w:tc>
      </w:tr>
      <w:tr w14:paraId="6FE4DF36">
        <w:tblPrEx>
          <w:tblCellMar>
            <w:top w:w="0" w:type="dxa"/>
            <w:left w:w="108" w:type="dxa"/>
            <w:bottom w:w="0" w:type="dxa"/>
            <w:right w:w="108" w:type="dxa"/>
          </w:tblCellMar>
        </w:tblPrEx>
        <w:trPr>
          <w:trHeight w:val="23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9A0EF79">
            <w:pPr>
              <w:spacing w:line="520" w:lineRule="exact"/>
              <w:jc w:val="left"/>
              <w:rPr>
                <w:rFonts w:ascii="宋体" w:hAnsi="宋体" w:eastAsia="宋体"/>
                <w:color w:val="auto"/>
                <w:sz w:val="24"/>
                <w:highlight w:val="none"/>
              </w:rPr>
            </w:pPr>
            <w:r>
              <w:rPr>
                <w:rFonts w:ascii="宋体" w:hAnsi="宋体" w:eastAsia="宋体"/>
                <w:color w:val="auto"/>
                <w:sz w:val="24"/>
                <w:highlight w:val="none"/>
              </w:rPr>
              <w:t>9.</w:t>
            </w:r>
          </w:p>
        </w:tc>
        <w:tc>
          <w:tcPr>
            <w:tcW w:w="1814" w:type="dxa"/>
            <w:tcBorders>
              <w:top w:val="single" w:color="auto" w:sz="4" w:space="0"/>
              <w:left w:val="single" w:color="auto" w:sz="4" w:space="0"/>
              <w:bottom w:val="single" w:color="auto" w:sz="4" w:space="0"/>
              <w:right w:val="single" w:color="auto" w:sz="4" w:space="0"/>
            </w:tcBorders>
            <w:vAlign w:val="center"/>
          </w:tcPr>
          <w:p w14:paraId="339F0F66">
            <w:pPr>
              <w:spacing w:line="520" w:lineRule="exact"/>
              <w:ind w:firstLine="240" w:firstLineChars="100"/>
              <w:jc w:val="left"/>
              <w:rPr>
                <w:rFonts w:ascii="宋体" w:hAnsi="宋体" w:eastAsia="宋体"/>
                <w:color w:val="auto"/>
                <w:sz w:val="24"/>
                <w:highlight w:val="none"/>
              </w:rPr>
            </w:pPr>
            <w:r>
              <w:rPr>
                <w:rFonts w:ascii="宋体" w:hAnsi="宋体" w:eastAsia="宋体"/>
                <w:color w:val="auto"/>
                <w:sz w:val="24"/>
                <w:highlight w:val="none"/>
              </w:rPr>
              <w:t>服务期限</w:t>
            </w:r>
          </w:p>
        </w:tc>
        <w:tc>
          <w:tcPr>
            <w:tcW w:w="6340" w:type="dxa"/>
            <w:tcBorders>
              <w:top w:val="single" w:color="auto" w:sz="4" w:space="0"/>
              <w:left w:val="single" w:color="auto" w:sz="4" w:space="0"/>
              <w:bottom w:val="single" w:color="auto" w:sz="4" w:space="0"/>
              <w:right w:val="single" w:color="auto" w:sz="4" w:space="0"/>
            </w:tcBorders>
            <w:vAlign w:val="center"/>
          </w:tcPr>
          <w:p w14:paraId="6DF7EDD8">
            <w:pPr>
              <w:spacing w:line="520" w:lineRule="exact"/>
              <w:jc w:val="left"/>
              <w:rPr>
                <w:rFonts w:ascii="宋体" w:hAnsi="宋体" w:eastAsia="宋体"/>
                <w:color w:val="auto"/>
                <w:sz w:val="24"/>
                <w:highlight w:val="none"/>
              </w:rPr>
            </w:pPr>
            <w:r>
              <w:rPr>
                <w:rFonts w:ascii="宋体" w:hAnsi="宋体" w:eastAsia="宋体"/>
                <w:color w:val="auto"/>
                <w:sz w:val="24"/>
                <w:highlight w:val="none"/>
              </w:rPr>
              <w:t>自合同签订之日起6个月</w:t>
            </w:r>
          </w:p>
        </w:tc>
      </w:tr>
      <w:tr w14:paraId="66CE4ABA">
        <w:tblPrEx>
          <w:tblCellMar>
            <w:top w:w="0" w:type="dxa"/>
            <w:left w:w="108" w:type="dxa"/>
            <w:bottom w:w="0" w:type="dxa"/>
            <w:right w:w="108" w:type="dxa"/>
          </w:tblCellMar>
        </w:tblPrEx>
        <w:trPr>
          <w:trHeight w:val="23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9A1FD74">
            <w:pPr>
              <w:spacing w:line="520" w:lineRule="exact"/>
              <w:jc w:val="left"/>
              <w:rPr>
                <w:rFonts w:ascii="宋体" w:hAnsi="宋体" w:eastAsia="宋体"/>
                <w:color w:val="auto"/>
                <w:sz w:val="24"/>
                <w:highlight w:val="none"/>
              </w:rPr>
            </w:pPr>
            <w:r>
              <w:rPr>
                <w:rFonts w:ascii="宋体" w:hAnsi="宋体" w:eastAsia="宋体"/>
                <w:color w:val="auto"/>
                <w:sz w:val="24"/>
                <w:highlight w:val="none"/>
              </w:rPr>
              <w:t>10.</w:t>
            </w:r>
          </w:p>
        </w:tc>
        <w:tc>
          <w:tcPr>
            <w:tcW w:w="1814" w:type="dxa"/>
            <w:tcBorders>
              <w:top w:val="single" w:color="auto" w:sz="4" w:space="0"/>
              <w:left w:val="single" w:color="auto" w:sz="4" w:space="0"/>
              <w:bottom w:val="single" w:color="auto" w:sz="4" w:space="0"/>
              <w:right w:val="single" w:color="auto" w:sz="4" w:space="0"/>
            </w:tcBorders>
            <w:vAlign w:val="center"/>
          </w:tcPr>
          <w:p w14:paraId="13559777">
            <w:pPr>
              <w:spacing w:line="520" w:lineRule="exact"/>
              <w:ind w:firstLine="240" w:firstLineChars="100"/>
              <w:jc w:val="left"/>
              <w:rPr>
                <w:rFonts w:ascii="宋体" w:hAnsi="宋体" w:eastAsia="宋体"/>
                <w:color w:val="auto"/>
                <w:sz w:val="24"/>
                <w:highlight w:val="none"/>
              </w:rPr>
            </w:pPr>
            <w:r>
              <w:rPr>
                <w:rFonts w:ascii="宋体" w:hAnsi="宋体" w:eastAsia="宋体"/>
                <w:color w:val="auto"/>
                <w:sz w:val="24"/>
                <w:highlight w:val="none"/>
              </w:rPr>
              <w:t>服务要求</w:t>
            </w:r>
          </w:p>
        </w:tc>
        <w:tc>
          <w:tcPr>
            <w:tcW w:w="6340" w:type="dxa"/>
            <w:tcBorders>
              <w:top w:val="single" w:color="auto" w:sz="4" w:space="0"/>
              <w:left w:val="single" w:color="auto" w:sz="4" w:space="0"/>
              <w:bottom w:val="single" w:color="auto" w:sz="4" w:space="0"/>
              <w:right w:val="single" w:color="auto" w:sz="4" w:space="0"/>
            </w:tcBorders>
            <w:vAlign w:val="center"/>
          </w:tcPr>
          <w:p w14:paraId="7FF193DE">
            <w:pPr>
              <w:spacing w:line="520" w:lineRule="exact"/>
              <w:jc w:val="left"/>
              <w:rPr>
                <w:rFonts w:ascii="宋体" w:hAnsi="宋体" w:eastAsia="宋体"/>
                <w:color w:val="auto"/>
                <w:sz w:val="24"/>
                <w:highlight w:val="none"/>
              </w:rPr>
            </w:pPr>
            <w:r>
              <w:rPr>
                <w:rFonts w:ascii="宋体" w:hAnsi="宋体" w:eastAsia="宋体"/>
                <w:color w:val="auto"/>
                <w:sz w:val="24"/>
                <w:highlight w:val="none"/>
              </w:rPr>
              <w:t>符合国家、省、市相关规范、规定等技术要求，满足磋商文件及采购人要求。</w:t>
            </w:r>
          </w:p>
        </w:tc>
      </w:tr>
      <w:tr w14:paraId="5CF90FC6">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3A5FA18">
            <w:pPr>
              <w:spacing w:line="520" w:lineRule="exact"/>
              <w:jc w:val="left"/>
              <w:rPr>
                <w:rFonts w:ascii="宋体" w:hAnsi="宋体" w:eastAsia="宋体"/>
                <w:color w:val="auto"/>
                <w:sz w:val="24"/>
                <w:highlight w:val="none"/>
              </w:rPr>
            </w:pPr>
            <w:r>
              <w:rPr>
                <w:rFonts w:ascii="宋体" w:hAnsi="宋体" w:eastAsia="宋体"/>
                <w:color w:val="auto"/>
                <w:sz w:val="24"/>
                <w:highlight w:val="none"/>
              </w:rPr>
              <w:t>11.</w:t>
            </w:r>
          </w:p>
        </w:tc>
        <w:tc>
          <w:tcPr>
            <w:tcW w:w="1814" w:type="dxa"/>
            <w:tcBorders>
              <w:top w:val="single" w:color="auto" w:sz="4" w:space="0"/>
              <w:left w:val="single" w:color="auto" w:sz="4" w:space="0"/>
              <w:bottom w:val="single" w:color="auto" w:sz="4" w:space="0"/>
              <w:right w:val="single" w:color="auto" w:sz="4" w:space="0"/>
            </w:tcBorders>
            <w:vAlign w:val="center"/>
          </w:tcPr>
          <w:p w14:paraId="2126C080">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供应商资格要求</w:t>
            </w:r>
          </w:p>
        </w:tc>
        <w:tc>
          <w:tcPr>
            <w:tcW w:w="6340" w:type="dxa"/>
            <w:tcBorders>
              <w:top w:val="single" w:color="auto" w:sz="4" w:space="0"/>
              <w:left w:val="single" w:color="auto" w:sz="4" w:space="0"/>
              <w:bottom w:val="single" w:color="auto" w:sz="4" w:space="0"/>
              <w:right w:val="single" w:color="auto" w:sz="4" w:space="0"/>
            </w:tcBorders>
            <w:vAlign w:val="center"/>
          </w:tcPr>
          <w:p w14:paraId="1908F0E8">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1.符合《中华人民共和国政府采购法》第二十二条之规定。</w:t>
            </w:r>
          </w:p>
          <w:p w14:paraId="3EEF8DA0">
            <w:pPr>
              <w:spacing w:line="360" w:lineRule="auto"/>
              <w:ind w:firstLine="480" w:firstLineChars="200"/>
              <w:jc w:val="left"/>
              <w:rPr>
                <w:rFonts w:ascii="宋体" w:hAnsi="宋体" w:eastAsia="宋体"/>
                <w:color w:val="auto"/>
                <w:sz w:val="24"/>
                <w:highlight w:val="none"/>
              </w:rPr>
            </w:pPr>
            <w:r>
              <w:rPr>
                <w:rFonts w:ascii="宋体" w:hAnsi="宋体" w:eastAsia="宋体"/>
                <w:color w:val="auto"/>
                <w:sz w:val="24"/>
                <w:highlight w:val="none"/>
              </w:rPr>
              <w:t>2.落实政府采购政策满足的资格要求：根据《政府采购促进中小企业发展管理办法》财库【2020】46号规定，本项目专门面向中小企业采购（监狱企业、残疾人福利性单位视同小微企业），符合条件的供应商应按文件要求提供相应声明函。</w:t>
            </w:r>
          </w:p>
          <w:p w14:paraId="4CB1B922">
            <w:pPr>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3.本项目的特定资格要求：</w:t>
            </w:r>
          </w:p>
          <w:p w14:paraId="0AE24B6F">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3.1供应商具有独立承担民事责任的能力，提供有效的营业执照（也可上传电子营业执照）；</w:t>
            </w:r>
          </w:p>
          <w:p w14:paraId="5A929645">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2</w:t>
            </w:r>
            <w:r>
              <w:rPr>
                <w:rFonts w:ascii="宋体" w:hAnsi="宋体" w:eastAsia="宋体"/>
                <w:color w:val="auto"/>
                <w:sz w:val="24"/>
                <w:highlight w:val="none"/>
              </w:rPr>
              <w:t>供应商具有良好的商业信誉和健全的财务会计制度（提供承诺函,格式自拟）；</w:t>
            </w:r>
          </w:p>
          <w:p w14:paraId="773A30E1">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3</w:t>
            </w:r>
            <w:r>
              <w:rPr>
                <w:rFonts w:ascii="宋体" w:hAnsi="宋体" w:eastAsia="宋体"/>
                <w:color w:val="auto"/>
                <w:sz w:val="24"/>
                <w:highlight w:val="none"/>
              </w:rPr>
              <w:t>供应商具有依法缴纳税收和社会保障资金的良好记录（提供承诺函,格式自拟）；</w:t>
            </w:r>
          </w:p>
          <w:p w14:paraId="39DA19C1">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4</w:t>
            </w:r>
            <w:r>
              <w:rPr>
                <w:rFonts w:ascii="宋体" w:hAnsi="宋体" w:eastAsia="宋体"/>
                <w:color w:val="auto"/>
                <w:sz w:val="24"/>
                <w:highlight w:val="none"/>
              </w:rPr>
              <w:t>供应商具备履行合同所必须的设备和专业技术能力（提供承诺函,格式自拟）；</w:t>
            </w:r>
          </w:p>
          <w:p w14:paraId="7A2D47F1">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5</w:t>
            </w:r>
            <w:r>
              <w:rPr>
                <w:rFonts w:ascii="宋体" w:hAnsi="宋体" w:eastAsia="宋体"/>
                <w:color w:val="auto"/>
                <w:sz w:val="24"/>
                <w:highlight w:val="none"/>
              </w:rPr>
              <w:t>参加政府采购活动前3年内在经营活动中没有重大违法记录的书面声明(提供声明函,格式自拟)；</w:t>
            </w:r>
          </w:p>
          <w:p w14:paraId="1605E033">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6</w:t>
            </w:r>
            <w:r>
              <w:rPr>
                <w:rFonts w:ascii="宋体" w:hAnsi="宋体" w:eastAsia="宋体"/>
                <w:color w:val="auto"/>
                <w:sz w:val="24"/>
                <w:highlight w:val="none"/>
              </w:rPr>
              <w:t>不允许分包、转包，供应商负责人为同一人或者存在直接控股、管理关系的不同投标人，不得同时参加同一项目的采购活动。（供应商自行承诺，格式自拟）。</w:t>
            </w:r>
          </w:p>
          <w:p w14:paraId="3901ADB9">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7</w:t>
            </w:r>
            <w:r>
              <w:rPr>
                <w:rFonts w:ascii="宋体" w:hAnsi="宋体" w:eastAsia="宋体"/>
                <w:color w:val="auto"/>
                <w:sz w:val="24"/>
                <w:highlight w:val="none"/>
              </w:rPr>
              <w:t>供应商需提供公告发布之日后的“信用中国”网站的“失信被执行人”（自动跳转至“中国执行信息公开网”）、和“重大税收违法失信主体”、“中国政府采购网”网站的“政府采购严重违法失信行为记录名单”查询结果页面，若有不良记录，则投标无效。</w:t>
            </w:r>
          </w:p>
          <w:p w14:paraId="60527ED1">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3.</w:t>
            </w:r>
            <w:r>
              <w:rPr>
                <w:rFonts w:hint="eastAsia" w:ascii="宋体" w:hAnsi="宋体"/>
                <w:color w:val="auto"/>
                <w:sz w:val="24"/>
                <w:highlight w:val="none"/>
                <w:lang w:val="en-US" w:eastAsia="zh-CN"/>
              </w:rPr>
              <w:t>8</w:t>
            </w:r>
            <w:r>
              <w:rPr>
                <w:rFonts w:ascii="宋体" w:hAnsi="宋体" w:eastAsia="宋体"/>
                <w:color w:val="auto"/>
                <w:sz w:val="24"/>
                <w:highlight w:val="none"/>
              </w:rPr>
              <w:t>本次招标为资格后审，不接受联合体投标。</w:t>
            </w:r>
          </w:p>
          <w:p w14:paraId="2230DCDD">
            <w:pPr>
              <w:tabs>
                <w:tab w:val="left" w:pos="420"/>
              </w:tabs>
              <w:snapToGrid w:val="0"/>
              <w:spacing w:line="360" w:lineRule="auto"/>
              <w:ind w:firstLine="480" w:firstLineChars="200"/>
              <w:rPr>
                <w:rFonts w:ascii="宋体" w:hAnsi="宋体" w:eastAsia="宋体"/>
                <w:color w:val="auto"/>
                <w:sz w:val="24"/>
                <w:highlight w:val="none"/>
              </w:rPr>
            </w:pPr>
            <w:r>
              <w:rPr>
                <w:rFonts w:ascii="宋体" w:hAnsi="宋体" w:eastAsia="宋体"/>
                <w:color w:val="auto"/>
                <w:sz w:val="24"/>
                <w:highlight w:val="none"/>
              </w:rPr>
              <w:t>注：供应商所提供资料必须真实有效并提供资料真实有效承诺书，并愿意承担因就提供虚假资料随时视为放弃中标资格并承担由此引起的一切不良和法律后果（需出具承诺书，格式自拟）。</w:t>
            </w:r>
          </w:p>
        </w:tc>
      </w:tr>
      <w:tr w14:paraId="789AF183">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E31975B">
            <w:pPr>
              <w:spacing w:line="520" w:lineRule="exact"/>
              <w:jc w:val="left"/>
              <w:rPr>
                <w:rFonts w:ascii="宋体" w:hAnsi="宋体" w:eastAsia="宋体"/>
                <w:color w:val="auto"/>
                <w:sz w:val="24"/>
                <w:highlight w:val="none"/>
              </w:rPr>
            </w:pPr>
            <w:r>
              <w:rPr>
                <w:rFonts w:ascii="宋体" w:hAnsi="宋体" w:eastAsia="宋体"/>
                <w:color w:val="auto"/>
                <w:sz w:val="24"/>
                <w:highlight w:val="none"/>
              </w:rPr>
              <w:t>12.</w:t>
            </w:r>
          </w:p>
        </w:tc>
        <w:tc>
          <w:tcPr>
            <w:tcW w:w="1814" w:type="dxa"/>
            <w:tcBorders>
              <w:top w:val="single" w:color="auto" w:sz="4" w:space="0"/>
              <w:left w:val="single" w:color="auto" w:sz="4" w:space="0"/>
              <w:bottom w:val="single" w:color="auto" w:sz="4" w:space="0"/>
              <w:right w:val="single" w:color="auto" w:sz="4" w:space="0"/>
            </w:tcBorders>
            <w:vAlign w:val="center"/>
          </w:tcPr>
          <w:p w14:paraId="58E06F7B">
            <w:pPr>
              <w:spacing w:line="520" w:lineRule="exact"/>
              <w:jc w:val="center"/>
              <w:rPr>
                <w:rFonts w:ascii="宋体" w:hAnsi="宋体" w:eastAsia="宋体"/>
                <w:color w:val="auto"/>
                <w:kern w:val="0"/>
                <w:sz w:val="24"/>
                <w:highlight w:val="none"/>
              </w:rPr>
            </w:pPr>
            <w:r>
              <w:rPr>
                <w:rFonts w:ascii="宋体" w:hAnsi="宋体" w:eastAsia="宋体"/>
                <w:color w:val="auto"/>
                <w:kern w:val="0"/>
                <w:sz w:val="24"/>
                <w:highlight w:val="none"/>
              </w:rPr>
              <w:t>是否接受，联合体投标</w:t>
            </w:r>
          </w:p>
        </w:tc>
        <w:tc>
          <w:tcPr>
            <w:tcW w:w="6340" w:type="dxa"/>
            <w:tcBorders>
              <w:top w:val="single" w:color="auto" w:sz="4" w:space="0"/>
              <w:left w:val="single" w:color="auto" w:sz="4" w:space="0"/>
              <w:bottom w:val="single" w:color="auto" w:sz="4" w:space="0"/>
              <w:right w:val="single" w:color="auto" w:sz="4" w:space="0"/>
            </w:tcBorders>
            <w:vAlign w:val="center"/>
          </w:tcPr>
          <w:p w14:paraId="0AAD3727">
            <w:pPr>
              <w:spacing w:line="360" w:lineRule="auto"/>
              <w:ind w:firstLine="480" w:firstLineChars="200"/>
              <w:jc w:val="left"/>
              <w:rPr>
                <w:rFonts w:ascii="宋体" w:hAnsi="宋体" w:eastAsia="宋体"/>
                <w:color w:val="auto"/>
                <w:sz w:val="24"/>
                <w:highlight w:val="none"/>
              </w:rPr>
            </w:pPr>
            <w:r>
              <w:rPr>
                <w:rFonts w:ascii="宋体" w:hAnsi="宋体" w:eastAsia="宋体"/>
                <w:color w:val="auto"/>
                <w:sz w:val="24"/>
                <w:highlight w:val="none"/>
              </w:rPr>
              <w:sym w:font="Wingdings 2" w:char="F052"/>
            </w:r>
            <w:r>
              <w:rPr>
                <w:rFonts w:ascii="宋体" w:hAnsi="宋体" w:eastAsia="宋体"/>
                <w:color w:val="auto"/>
                <w:sz w:val="24"/>
                <w:highlight w:val="none"/>
              </w:rPr>
              <w:t>不接受</w:t>
            </w:r>
          </w:p>
          <w:p w14:paraId="421A67DD">
            <w:pPr>
              <w:spacing w:line="360" w:lineRule="auto"/>
              <w:ind w:firstLine="480" w:firstLineChars="200"/>
              <w:jc w:val="left"/>
              <w:rPr>
                <w:rFonts w:ascii="宋体" w:hAnsi="宋体" w:eastAsia="宋体"/>
                <w:color w:val="auto"/>
                <w:sz w:val="24"/>
                <w:highlight w:val="none"/>
              </w:rPr>
            </w:pPr>
            <w:r>
              <w:rPr>
                <w:rFonts w:ascii="宋体" w:hAnsi="宋体" w:eastAsia="宋体"/>
                <w:color w:val="auto"/>
                <w:sz w:val="24"/>
                <w:highlight w:val="none"/>
              </w:rPr>
              <w:t>□接受</w:t>
            </w:r>
          </w:p>
        </w:tc>
      </w:tr>
      <w:tr w14:paraId="6CA824CA">
        <w:tblPrEx>
          <w:tblCellMar>
            <w:top w:w="0" w:type="dxa"/>
            <w:left w:w="108" w:type="dxa"/>
            <w:bottom w:w="0" w:type="dxa"/>
            <w:right w:w="108" w:type="dxa"/>
          </w:tblCellMar>
        </w:tblPrEx>
        <w:trPr>
          <w:trHeight w:val="203"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06F488B">
            <w:pPr>
              <w:spacing w:line="520" w:lineRule="exact"/>
              <w:jc w:val="left"/>
              <w:rPr>
                <w:rFonts w:ascii="宋体" w:hAnsi="宋体" w:eastAsia="宋体"/>
                <w:color w:val="auto"/>
                <w:sz w:val="24"/>
                <w:highlight w:val="none"/>
              </w:rPr>
            </w:pPr>
            <w:r>
              <w:rPr>
                <w:rFonts w:ascii="宋体" w:hAnsi="宋体" w:eastAsia="宋体"/>
                <w:color w:val="auto"/>
                <w:sz w:val="24"/>
                <w:highlight w:val="none"/>
              </w:rPr>
              <w:t>13.</w:t>
            </w:r>
          </w:p>
        </w:tc>
        <w:tc>
          <w:tcPr>
            <w:tcW w:w="1814" w:type="dxa"/>
            <w:tcBorders>
              <w:top w:val="single" w:color="auto" w:sz="4" w:space="0"/>
              <w:left w:val="single" w:color="auto" w:sz="4" w:space="0"/>
              <w:bottom w:val="single" w:color="auto" w:sz="4" w:space="0"/>
              <w:right w:val="single" w:color="auto" w:sz="4" w:space="0"/>
            </w:tcBorders>
            <w:vAlign w:val="center"/>
          </w:tcPr>
          <w:p w14:paraId="6ED48D22">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踏勘现场及答疑</w:t>
            </w:r>
          </w:p>
        </w:tc>
        <w:tc>
          <w:tcPr>
            <w:tcW w:w="6340" w:type="dxa"/>
            <w:tcBorders>
              <w:top w:val="single" w:color="auto" w:sz="4" w:space="0"/>
              <w:left w:val="single" w:color="auto" w:sz="4" w:space="0"/>
              <w:bottom w:val="single" w:color="auto" w:sz="4" w:space="0"/>
              <w:right w:val="single" w:color="auto" w:sz="4" w:space="0"/>
            </w:tcBorders>
            <w:vAlign w:val="center"/>
          </w:tcPr>
          <w:p w14:paraId="42C608AD">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sym w:font="Wingdings 2" w:char="F052"/>
            </w:r>
            <w:r>
              <w:rPr>
                <w:rFonts w:ascii="宋体" w:hAnsi="宋体" w:eastAsia="宋体"/>
                <w:color w:val="auto"/>
                <w:kern w:val="0"/>
                <w:sz w:val="24"/>
                <w:szCs w:val="20"/>
                <w:highlight w:val="none"/>
              </w:rPr>
              <w:t>不组织</w:t>
            </w:r>
          </w:p>
          <w:p w14:paraId="35D78B2D">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□组织</w:t>
            </w:r>
          </w:p>
        </w:tc>
      </w:tr>
      <w:tr w14:paraId="009C203C">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BC7D528">
            <w:pPr>
              <w:spacing w:line="520" w:lineRule="exact"/>
              <w:jc w:val="left"/>
              <w:rPr>
                <w:rFonts w:ascii="宋体" w:hAnsi="宋体" w:eastAsia="宋体"/>
                <w:color w:val="auto"/>
                <w:sz w:val="24"/>
                <w:highlight w:val="none"/>
              </w:rPr>
            </w:pPr>
            <w:r>
              <w:rPr>
                <w:rFonts w:ascii="宋体" w:hAnsi="宋体" w:eastAsia="宋体"/>
                <w:color w:val="auto"/>
                <w:sz w:val="24"/>
                <w:highlight w:val="none"/>
              </w:rPr>
              <w:t>14.</w:t>
            </w:r>
          </w:p>
        </w:tc>
        <w:tc>
          <w:tcPr>
            <w:tcW w:w="1814" w:type="dxa"/>
            <w:tcBorders>
              <w:top w:val="single" w:color="auto" w:sz="4" w:space="0"/>
              <w:left w:val="single" w:color="auto" w:sz="4" w:space="0"/>
              <w:bottom w:val="single" w:color="auto" w:sz="4" w:space="0"/>
              <w:right w:val="single" w:color="auto" w:sz="4" w:space="0"/>
            </w:tcBorders>
            <w:vAlign w:val="center"/>
          </w:tcPr>
          <w:p w14:paraId="24595F0E">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投标预备会</w:t>
            </w:r>
          </w:p>
        </w:tc>
        <w:tc>
          <w:tcPr>
            <w:tcW w:w="6340" w:type="dxa"/>
            <w:tcBorders>
              <w:top w:val="single" w:color="auto" w:sz="4" w:space="0"/>
              <w:left w:val="single" w:color="auto" w:sz="4" w:space="0"/>
              <w:bottom w:val="single" w:color="auto" w:sz="4" w:space="0"/>
              <w:right w:val="single" w:color="auto" w:sz="4" w:space="0"/>
            </w:tcBorders>
            <w:vAlign w:val="center"/>
          </w:tcPr>
          <w:p w14:paraId="28DA882C">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sym w:font="Wingdings 2" w:char="F052"/>
            </w:r>
            <w:r>
              <w:rPr>
                <w:rFonts w:ascii="宋体" w:hAnsi="宋体" w:eastAsia="宋体"/>
                <w:color w:val="auto"/>
                <w:kern w:val="0"/>
                <w:sz w:val="24"/>
                <w:szCs w:val="20"/>
                <w:highlight w:val="none"/>
              </w:rPr>
              <w:t>不召开</w:t>
            </w:r>
          </w:p>
          <w:p w14:paraId="64E039F6">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□召开</w:t>
            </w:r>
          </w:p>
        </w:tc>
      </w:tr>
      <w:tr w14:paraId="14B09A68">
        <w:tblPrEx>
          <w:tblCellMar>
            <w:top w:w="0" w:type="dxa"/>
            <w:left w:w="108" w:type="dxa"/>
            <w:bottom w:w="0" w:type="dxa"/>
            <w:right w:w="108" w:type="dxa"/>
          </w:tblCellMar>
        </w:tblPrEx>
        <w:trPr>
          <w:trHeight w:val="401"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154EAA5">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15.</w:t>
            </w:r>
          </w:p>
        </w:tc>
        <w:tc>
          <w:tcPr>
            <w:tcW w:w="1814" w:type="dxa"/>
            <w:tcBorders>
              <w:top w:val="single" w:color="auto" w:sz="4" w:space="0"/>
              <w:left w:val="single" w:color="auto" w:sz="4" w:space="0"/>
              <w:bottom w:val="single" w:color="auto" w:sz="4" w:space="0"/>
              <w:right w:val="single" w:color="auto" w:sz="4" w:space="0"/>
            </w:tcBorders>
            <w:vAlign w:val="center"/>
          </w:tcPr>
          <w:p w14:paraId="2F565F1F">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技术偏离</w:t>
            </w:r>
          </w:p>
        </w:tc>
        <w:tc>
          <w:tcPr>
            <w:tcW w:w="6340" w:type="dxa"/>
            <w:tcBorders>
              <w:top w:val="single" w:color="auto" w:sz="4" w:space="0"/>
              <w:left w:val="single" w:color="auto" w:sz="4" w:space="0"/>
              <w:bottom w:val="single" w:color="auto" w:sz="4" w:space="0"/>
              <w:right w:val="single" w:color="auto" w:sz="4" w:space="0"/>
            </w:tcBorders>
            <w:vAlign w:val="center"/>
          </w:tcPr>
          <w:p w14:paraId="0A25C0AF">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sym w:font="Wingdings 2" w:char="F0A3"/>
            </w:r>
            <w:r>
              <w:rPr>
                <w:rFonts w:ascii="宋体" w:hAnsi="宋体" w:eastAsia="宋体"/>
                <w:color w:val="auto"/>
                <w:kern w:val="0"/>
                <w:sz w:val="24"/>
                <w:szCs w:val="20"/>
                <w:highlight w:val="none"/>
              </w:rPr>
              <w:t>不允许负偏差</w:t>
            </w:r>
          </w:p>
          <w:p w14:paraId="73E30B4E">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sym w:font="Wingdings 2" w:char="F052"/>
            </w:r>
            <w:r>
              <w:rPr>
                <w:rFonts w:ascii="宋体" w:hAnsi="宋体" w:eastAsia="宋体"/>
                <w:color w:val="auto"/>
                <w:kern w:val="0"/>
                <w:sz w:val="24"/>
                <w:szCs w:val="20"/>
                <w:highlight w:val="none"/>
              </w:rPr>
              <w:t>允许</w:t>
            </w:r>
          </w:p>
        </w:tc>
      </w:tr>
      <w:tr w14:paraId="56B0B2CB">
        <w:tblPrEx>
          <w:tblCellMar>
            <w:top w:w="0" w:type="dxa"/>
            <w:left w:w="108" w:type="dxa"/>
            <w:bottom w:w="0" w:type="dxa"/>
            <w:right w:w="108" w:type="dxa"/>
          </w:tblCellMar>
        </w:tblPrEx>
        <w:trPr>
          <w:trHeight w:val="223"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FDD4FF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16.</w:t>
            </w:r>
          </w:p>
        </w:tc>
        <w:tc>
          <w:tcPr>
            <w:tcW w:w="1814" w:type="dxa"/>
            <w:tcBorders>
              <w:top w:val="single" w:color="auto" w:sz="4" w:space="0"/>
              <w:left w:val="single" w:color="auto" w:sz="4" w:space="0"/>
              <w:bottom w:val="single" w:color="auto" w:sz="4" w:space="0"/>
              <w:right w:val="single" w:color="auto" w:sz="4" w:space="0"/>
            </w:tcBorders>
            <w:vAlign w:val="center"/>
          </w:tcPr>
          <w:p w14:paraId="777C48AD">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构成磋商文件的其他材料</w:t>
            </w:r>
          </w:p>
        </w:tc>
        <w:tc>
          <w:tcPr>
            <w:tcW w:w="6340" w:type="dxa"/>
            <w:tcBorders>
              <w:top w:val="single" w:color="auto" w:sz="4" w:space="0"/>
              <w:left w:val="single" w:color="auto" w:sz="4" w:space="0"/>
              <w:bottom w:val="single" w:color="auto" w:sz="4" w:space="0"/>
              <w:right w:val="single" w:color="auto" w:sz="4" w:space="0"/>
            </w:tcBorders>
            <w:vAlign w:val="center"/>
          </w:tcPr>
          <w:p w14:paraId="10EAD34C">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与本项目有关的解答、澄清、修改与补充等</w:t>
            </w:r>
          </w:p>
        </w:tc>
      </w:tr>
      <w:tr w14:paraId="5A9868E0">
        <w:tblPrEx>
          <w:tblCellMar>
            <w:top w:w="0" w:type="dxa"/>
            <w:left w:w="108" w:type="dxa"/>
            <w:bottom w:w="0" w:type="dxa"/>
            <w:right w:w="108" w:type="dxa"/>
          </w:tblCellMar>
        </w:tblPrEx>
        <w:trPr>
          <w:trHeight w:val="1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41DD80F">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17.</w:t>
            </w:r>
          </w:p>
        </w:tc>
        <w:tc>
          <w:tcPr>
            <w:tcW w:w="1814" w:type="dxa"/>
            <w:tcBorders>
              <w:top w:val="single" w:color="auto" w:sz="4" w:space="0"/>
              <w:left w:val="single" w:color="auto" w:sz="4" w:space="0"/>
              <w:bottom w:val="single" w:color="auto" w:sz="4" w:space="0"/>
              <w:right w:val="single" w:color="auto" w:sz="4" w:space="0"/>
            </w:tcBorders>
            <w:vAlign w:val="center"/>
          </w:tcPr>
          <w:p w14:paraId="3EB09D8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供应商要求澄清磋商文件的截止时间</w:t>
            </w:r>
          </w:p>
        </w:tc>
        <w:tc>
          <w:tcPr>
            <w:tcW w:w="6340" w:type="dxa"/>
            <w:tcBorders>
              <w:top w:val="single" w:color="auto" w:sz="4" w:space="0"/>
              <w:left w:val="single" w:color="auto" w:sz="4" w:space="0"/>
              <w:bottom w:val="single" w:color="auto" w:sz="4" w:space="0"/>
              <w:right w:val="single" w:color="auto" w:sz="4" w:space="0"/>
            </w:tcBorders>
            <w:vAlign w:val="center"/>
          </w:tcPr>
          <w:p w14:paraId="4DF68642">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提交首次响应文件截止时间5日前</w:t>
            </w:r>
          </w:p>
        </w:tc>
      </w:tr>
      <w:tr w14:paraId="37FB9AA3">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CCAF1D2">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18.</w:t>
            </w:r>
          </w:p>
        </w:tc>
        <w:tc>
          <w:tcPr>
            <w:tcW w:w="1814" w:type="dxa"/>
            <w:tcBorders>
              <w:top w:val="single" w:color="auto" w:sz="4" w:space="0"/>
              <w:left w:val="single" w:color="auto" w:sz="4" w:space="0"/>
              <w:bottom w:val="single" w:color="auto" w:sz="4" w:space="0"/>
              <w:right w:val="single" w:color="auto" w:sz="4" w:space="0"/>
            </w:tcBorders>
            <w:vAlign w:val="center"/>
          </w:tcPr>
          <w:p w14:paraId="43B99AED">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投标截止时间</w:t>
            </w:r>
          </w:p>
        </w:tc>
        <w:tc>
          <w:tcPr>
            <w:tcW w:w="6340" w:type="dxa"/>
            <w:tcBorders>
              <w:top w:val="single" w:color="auto" w:sz="4" w:space="0"/>
              <w:left w:val="single" w:color="auto" w:sz="4" w:space="0"/>
              <w:bottom w:val="single" w:color="auto" w:sz="4" w:space="0"/>
              <w:right w:val="single" w:color="auto" w:sz="4" w:space="0"/>
            </w:tcBorders>
            <w:vAlign w:val="center"/>
          </w:tcPr>
          <w:p w14:paraId="2ECE0203">
            <w:pPr>
              <w:tabs>
                <w:tab w:val="left" w:pos="5670"/>
              </w:tabs>
              <w:spacing w:line="360" w:lineRule="auto"/>
              <w:ind w:firstLine="480" w:firstLineChars="200"/>
              <w:jc w:val="left"/>
              <w:rPr>
                <w:rFonts w:ascii="宋体" w:hAnsi="宋体"/>
                <w:color w:val="auto"/>
                <w:sz w:val="24"/>
                <w:highlight w:val="none"/>
              </w:rPr>
            </w:pPr>
            <w:r>
              <w:rPr>
                <w:rFonts w:ascii="宋体" w:hAnsi="宋体"/>
                <w:color w:val="auto"/>
                <w:sz w:val="24"/>
                <w:highlight w:val="none"/>
              </w:rPr>
              <w:t>2025年</w:t>
            </w:r>
            <w:r>
              <w:rPr>
                <w:rFonts w:hint="eastAsia" w:ascii="宋体" w:hAnsi="宋体"/>
                <w:color w:val="auto"/>
                <w:sz w:val="24"/>
                <w:highlight w:val="none"/>
                <w:lang w:val="en-US" w:eastAsia="zh-CN"/>
              </w:rPr>
              <w:t>12</w:t>
            </w:r>
            <w:r>
              <w:rPr>
                <w:rFonts w:ascii="宋体" w:hAnsi="宋体"/>
                <w:color w:val="auto"/>
                <w:sz w:val="24"/>
                <w:highlight w:val="none"/>
              </w:rPr>
              <w:t>月</w:t>
            </w:r>
            <w:r>
              <w:rPr>
                <w:rFonts w:hint="eastAsia" w:ascii="宋体" w:hAnsi="宋体"/>
                <w:color w:val="auto"/>
                <w:sz w:val="24"/>
                <w:highlight w:val="none"/>
                <w:lang w:val="en-US" w:eastAsia="zh-CN"/>
              </w:rPr>
              <w:t>22</w:t>
            </w:r>
            <w:r>
              <w:rPr>
                <w:rFonts w:ascii="宋体" w:hAnsi="宋体"/>
                <w:color w:val="auto"/>
                <w:sz w:val="24"/>
                <w:highlight w:val="none"/>
              </w:rPr>
              <w:t>日0</w:t>
            </w:r>
            <w:r>
              <w:rPr>
                <w:rFonts w:hint="eastAsia" w:ascii="宋体" w:hAnsi="宋体"/>
                <w:color w:val="auto"/>
                <w:sz w:val="24"/>
                <w:highlight w:val="none"/>
                <w:lang w:val="en-US" w:eastAsia="zh-CN"/>
              </w:rPr>
              <w:t>8</w:t>
            </w:r>
            <w:r>
              <w:rPr>
                <w:rFonts w:ascii="宋体" w:hAnsi="宋体"/>
                <w:color w:val="auto"/>
                <w:sz w:val="24"/>
                <w:highlight w:val="none"/>
              </w:rPr>
              <w:t>时</w:t>
            </w:r>
            <w:r>
              <w:rPr>
                <w:rFonts w:hint="eastAsia" w:ascii="宋体" w:hAnsi="宋体"/>
                <w:color w:val="auto"/>
                <w:sz w:val="24"/>
                <w:highlight w:val="none"/>
                <w:lang w:val="en-US" w:eastAsia="zh-CN"/>
              </w:rPr>
              <w:t>4</w:t>
            </w:r>
            <w:r>
              <w:rPr>
                <w:rFonts w:ascii="宋体" w:hAnsi="宋体"/>
                <w:color w:val="auto"/>
                <w:sz w:val="24"/>
                <w:highlight w:val="none"/>
              </w:rPr>
              <w:t>0分</w:t>
            </w:r>
            <w:r>
              <w:rPr>
                <w:rFonts w:ascii="宋体" w:hAnsi="宋体" w:eastAsia="宋体"/>
                <w:color w:val="auto"/>
                <w:kern w:val="0"/>
                <w:sz w:val="24"/>
                <w:szCs w:val="20"/>
                <w:highlight w:val="none"/>
              </w:rPr>
              <w:t>（北京时间）</w:t>
            </w:r>
          </w:p>
          <w:p w14:paraId="24B92D93">
            <w:pPr>
              <w:tabs>
                <w:tab w:val="left" w:pos="5670"/>
              </w:tabs>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注：全面实行在线“不见面”开标，投标人远程在线解密投标文件，不再到开标现场，投标人开标前应仔细阅读《“不见面”开标注意事项及操作流程》。</w:t>
            </w:r>
          </w:p>
        </w:tc>
      </w:tr>
      <w:tr w14:paraId="51A3A622">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CCE9651">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19.</w:t>
            </w:r>
          </w:p>
        </w:tc>
        <w:tc>
          <w:tcPr>
            <w:tcW w:w="1814" w:type="dxa"/>
            <w:tcBorders>
              <w:top w:val="single" w:color="auto" w:sz="4" w:space="0"/>
              <w:left w:val="single" w:color="auto" w:sz="4" w:space="0"/>
              <w:bottom w:val="single" w:color="auto" w:sz="4" w:space="0"/>
              <w:right w:val="single" w:color="auto" w:sz="4" w:space="0"/>
            </w:tcBorders>
            <w:vAlign w:val="center"/>
          </w:tcPr>
          <w:p w14:paraId="722EC709">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投标文件份数</w:t>
            </w:r>
          </w:p>
        </w:tc>
        <w:tc>
          <w:tcPr>
            <w:tcW w:w="6340" w:type="dxa"/>
            <w:tcBorders>
              <w:top w:val="single" w:color="auto" w:sz="4" w:space="0"/>
              <w:left w:val="single" w:color="auto" w:sz="4" w:space="0"/>
              <w:bottom w:val="single" w:color="auto" w:sz="4" w:space="0"/>
              <w:right w:val="single" w:color="auto" w:sz="4" w:space="0"/>
            </w:tcBorders>
            <w:vAlign w:val="center"/>
          </w:tcPr>
          <w:p w14:paraId="024DC22F">
            <w:pPr>
              <w:tabs>
                <w:tab w:val="left" w:pos="5670"/>
              </w:tabs>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加密电子投标文件一份，加密电子投标文件应在招标文件规定的投标截止时间（开标时间）之前成功提交至《全国公共资源交易平台(河南省▪平顶山市)》公共资源交易系统。除以上传的投标文件外，中标人应在公示期结束后，邮寄或递送纸质版投标文件2份（上传交易系统中的文件一致）加盖公章给采购人，以备采购人存档。</w:t>
            </w:r>
          </w:p>
        </w:tc>
      </w:tr>
      <w:tr w14:paraId="1BC99408">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065EB31">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20.</w:t>
            </w:r>
          </w:p>
        </w:tc>
        <w:tc>
          <w:tcPr>
            <w:tcW w:w="1814" w:type="dxa"/>
            <w:tcBorders>
              <w:top w:val="single" w:color="auto" w:sz="4" w:space="0"/>
              <w:left w:val="single" w:color="auto" w:sz="4" w:space="0"/>
              <w:bottom w:val="single" w:color="auto" w:sz="4" w:space="0"/>
              <w:right w:val="single" w:color="auto" w:sz="4" w:space="0"/>
            </w:tcBorders>
            <w:vAlign w:val="center"/>
          </w:tcPr>
          <w:p w14:paraId="6D984E6B">
            <w:pPr>
              <w:tabs>
                <w:tab w:val="left" w:pos="5670"/>
              </w:tabs>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投标有效期</w:t>
            </w:r>
          </w:p>
        </w:tc>
        <w:tc>
          <w:tcPr>
            <w:tcW w:w="6340" w:type="dxa"/>
            <w:tcBorders>
              <w:top w:val="single" w:color="auto" w:sz="4" w:space="0"/>
              <w:left w:val="single" w:color="auto" w:sz="4" w:space="0"/>
              <w:bottom w:val="single" w:color="auto" w:sz="4" w:space="0"/>
              <w:right w:val="single" w:color="auto" w:sz="4" w:space="0"/>
            </w:tcBorders>
            <w:vAlign w:val="center"/>
          </w:tcPr>
          <w:p w14:paraId="0673827C">
            <w:pPr>
              <w:tabs>
                <w:tab w:val="left" w:pos="5670"/>
              </w:tabs>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投标截止之日起60个日历天</w:t>
            </w:r>
          </w:p>
        </w:tc>
      </w:tr>
      <w:tr w14:paraId="44AAC17F">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18A6A49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21.</w:t>
            </w:r>
          </w:p>
        </w:tc>
        <w:tc>
          <w:tcPr>
            <w:tcW w:w="1814" w:type="dxa"/>
            <w:tcBorders>
              <w:top w:val="single" w:color="auto" w:sz="4" w:space="0"/>
              <w:left w:val="single" w:color="auto" w:sz="4" w:space="0"/>
              <w:bottom w:val="single" w:color="auto" w:sz="4" w:space="0"/>
              <w:right w:val="single" w:color="auto" w:sz="4" w:space="0"/>
            </w:tcBorders>
            <w:vAlign w:val="top"/>
          </w:tcPr>
          <w:p w14:paraId="4442A665">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投标保证金</w:t>
            </w:r>
          </w:p>
        </w:tc>
        <w:tc>
          <w:tcPr>
            <w:tcW w:w="6340" w:type="dxa"/>
            <w:tcBorders>
              <w:top w:val="single" w:color="auto" w:sz="4" w:space="0"/>
              <w:left w:val="single" w:color="auto" w:sz="4" w:space="0"/>
              <w:bottom w:val="single" w:color="auto" w:sz="4" w:space="0"/>
              <w:right w:val="single" w:color="auto" w:sz="4" w:space="0"/>
            </w:tcBorders>
            <w:vAlign w:val="top"/>
          </w:tcPr>
          <w:p w14:paraId="5FA27DFC">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不收取</w:t>
            </w:r>
          </w:p>
        </w:tc>
      </w:tr>
      <w:tr w14:paraId="46380C7F">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D2EDB00">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22.</w:t>
            </w:r>
          </w:p>
        </w:tc>
        <w:tc>
          <w:tcPr>
            <w:tcW w:w="1814" w:type="dxa"/>
            <w:tcBorders>
              <w:top w:val="single" w:color="auto" w:sz="4" w:space="0"/>
              <w:left w:val="single" w:color="auto" w:sz="4" w:space="0"/>
              <w:bottom w:val="single" w:color="auto" w:sz="4" w:space="0"/>
              <w:right w:val="single" w:color="auto" w:sz="4" w:space="0"/>
            </w:tcBorders>
            <w:vAlign w:val="center"/>
          </w:tcPr>
          <w:p w14:paraId="40005F2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签字或盖章要求</w:t>
            </w:r>
          </w:p>
        </w:tc>
        <w:tc>
          <w:tcPr>
            <w:tcW w:w="6340" w:type="dxa"/>
            <w:tcBorders>
              <w:top w:val="single" w:color="auto" w:sz="4" w:space="0"/>
              <w:left w:val="single" w:color="auto" w:sz="4" w:space="0"/>
              <w:bottom w:val="single" w:color="auto" w:sz="4" w:space="0"/>
              <w:right w:val="single" w:color="auto" w:sz="4" w:space="0"/>
            </w:tcBorders>
            <w:vAlign w:val="center"/>
          </w:tcPr>
          <w:p w14:paraId="7CF73698">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投标文件应按磋商文件要求签字、盖章。若被授权代理人签字或盖章的，投标文件中应附法定代表人有效授权委托书。</w:t>
            </w:r>
          </w:p>
        </w:tc>
      </w:tr>
      <w:tr w14:paraId="0F7D8FB5">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9EF7E4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23.</w:t>
            </w:r>
          </w:p>
        </w:tc>
        <w:tc>
          <w:tcPr>
            <w:tcW w:w="1814" w:type="dxa"/>
            <w:tcBorders>
              <w:top w:val="single" w:color="auto" w:sz="4" w:space="0"/>
              <w:left w:val="single" w:color="auto" w:sz="4" w:space="0"/>
              <w:bottom w:val="single" w:color="auto" w:sz="4" w:space="0"/>
              <w:right w:val="single" w:color="auto" w:sz="4" w:space="0"/>
            </w:tcBorders>
            <w:vAlign w:val="center"/>
          </w:tcPr>
          <w:p w14:paraId="72CDAF7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递交投标文件地点</w:t>
            </w:r>
          </w:p>
        </w:tc>
        <w:tc>
          <w:tcPr>
            <w:tcW w:w="6340" w:type="dxa"/>
            <w:tcBorders>
              <w:top w:val="single" w:color="auto" w:sz="4" w:space="0"/>
              <w:left w:val="single" w:color="auto" w:sz="4" w:space="0"/>
              <w:bottom w:val="single" w:color="auto" w:sz="4" w:space="0"/>
              <w:right w:val="single" w:color="auto" w:sz="4" w:space="0"/>
            </w:tcBorders>
            <w:vAlign w:val="center"/>
          </w:tcPr>
          <w:p w14:paraId="62FE0054">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平顶山市公共资源交易中心电子交易系统</w:t>
            </w:r>
          </w:p>
        </w:tc>
      </w:tr>
      <w:tr w14:paraId="72343D16">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right w:val="single" w:color="auto" w:sz="4" w:space="0"/>
            </w:tcBorders>
            <w:vAlign w:val="center"/>
          </w:tcPr>
          <w:p w14:paraId="347C5C00">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24.</w:t>
            </w:r>
          </w:p>
        </w:tc>
        <w:tc>
          <w:tcPr>
            <w:tcW w:w="1814" w:type="dxa"/>
            <w:tcBorders>
              <w:top w:val="single" w:color="auto" w:sz="4" w:space="0"/>
              <w:left w:val="single" w:color="auto" w:sz="4" w:space="0"/>
              <w:right w:val="single" w:color="auto" w:sz="4" w:space="0"/>
            </w:tcBorders>
            <w:vAlign w:val="center"/>
          </w:tcPr>
          <w:p w14:paraId="29388276">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开标时间和地点</w:t>
            </w:r>
          </w:p>
        </w:tc>
        <w:tc>
          <w:tcPr>
            <w:tcW w:w="6340" w:type="dxa"/>
            <w:tcBorders>
              <w:top w:val="single" w:color="auto" w:sz="4" w:space="0"/>
              <w:left w:val="single" w:color="auto" w:sz="4" w:space="0"/>
              <w:right w:val="single" w:color="auto" w:sz="4" w:space="0"/>
            </w:tcBorders>
            <w:vAlign w:val="center"/>
          </w:tcPr>
          <w:p w14:paraId="5A097DB8">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2025年  月   日09 时00分</w:t>
            </w:r>
            <w:r>
              <w:rPr>
                <w:rFonts w:ascii="宋体" w:hAnsi="宋体" w:eastAsia="宋体"/>
                <w:color w:val="auto"/>
                <w:kern w:val="0"/>
                <w:sz w:val="24"/>
                <w:szCs w:val="20"/>
                <w:highlight w:val="none"/>
              </w:rPr>
              <w:t>（北京时间）</w:t>
            </w:r>
          </w:p>
          <w:p w14:paraId="3351E939">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开标地点：平顶山市公共资源交易中心</w:t>
            </w:r>
          </w:p>
        </w:tc>
      </w:tr>
      <w:tr w14:paraId="3709091C">
        <w:tblPrEx>
          <w:tblCellMar>
            <w:top w:w="0" w:type="dxa"/>
            <w:left w:w="108" w:type="dxa"/>
            <w:bottom w:w="0" w:type="dxa"/>
            <w:right w:w="108" w:type="dxa"/>
          </w:tblCellMar>
        </w:tblPrEx>
        <w:trPr>
          <w:trHeight w:val="482"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B3B3693">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25.</w:t>
            </w:r>
          </w:p>
        </w:tc>
        <w:tc>
          <w:tcPr>
            <w:tcW w:w="1814" w:type="dxa"/>
            <w:tcBorders>
              <w:top w:val="single" w:color="auto" w:sz="4" w:space="0"/>
              <w:left w:val="single" w:color="auto" w:sz="4" w:space="0"/>
              <w:bottom w:val="single" w:color="auto" w:sz="4" w:space="0"/>
              <w:right w:val="single" w:color="auto" w:sz="4" w:space="0"/>
            </w:tcBorders>
            <w:vAlign w:val="center"/>
          </w:tcPr>
          <w:p w14:paraId="5091A2C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开标程序</w:t>
            </w:r>
          </w:p>
        </w:tc>
        <w:tc>
          <w:tcPr>
            <w:tcW w:w="6340" w:type="dxa"/>
            <w:tcBorders>
              <w:top w:val="single" w:color="auto" w:sz="4" w:space="0"/>
              <w:left w:val="single" w:color="auto" w:sz="4" w:space="0"/>
              <w:bottom w:val="single" w:color="auto" w:sz="4" w:space="0"/>
              <w:right w:val="single" w:color="auto" w:sz="4" w:space="0"/>
            </w:tcBorders>
            <w:vAlign w:val="center"/>
          </w:tcPr>
          <w:p w14:paraId="29B2284E">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 xml:space="preserve">电子响应文件解密后自动唱标 </w:t>
            </w:r>
          </w:p>
          <w:p w14:paraId="0BFFA50C">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注：开标后，请各供应商关注不见面开标大厅及时推送第二次报价（最终报价）</w:t>
            </w:r>
          </w:p>
        </w:tc>
      </w:tr>
      <w:tr w14:paraId="5E6EFF09">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D1C7FB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26.</w:t>
            </w:r>
          </w:p>
        </w:tc>
        <w:tc>
          <w:tcPr>
            <w:tcW w:w="1814" w:type="dxa"/>
            <w:tcBorders>
              <w:top w:val="single" w:color="auto" w:sz="4" w:space="0"/>
              <w:left w:val="single" w:color="auto" w:sz="4" w:space="0"/>
              <w:bottom w:val="single" w:color="auto" w:sz="4" w:space="0"/>
              <w:right w:val="single" w:color="auto" w:sz="4" w:space="0"/>
            </w:tcBorders>
            <w:vAlign w:val="center"/>
          </w:tcPr>
          <w:p w14:paraId="59E8A95D">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组建磋商小组</w:t>
            </w:r>
          </w:p>
        </w:tc>
        <w:tc>
          <w:tcPr>
            <w:tcW w:w="6340" w:type="dxa"/>
            <w:tcBorders>
              <w:top w:val="single" w:color="auto" w:sz="4" w:space="0"/>
              <w:left w:val="single" w:color="auto" w:sz="4" w:space="0"/>
              <w:bottom w:val="single" w:color="auto" w:sz="4" w:space="0"/>
              <w:right w:val="single" w:color="auto" w:sz="4" w:space="0"/>
            </w:tcBorders>
            <w:vAlign w:val="center"/>
          </w:tcPr>
          <w:p w14:paraId="1294FBDA">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磋商小组构成：由采购人代表及相关技术、经济专家 3 人以上单数组成。</w:t>
            </w:r>
          </w:p>
          <w:p w14:paraId="771F9A23">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评标专家确定方式:由采购人从相关评标专家库中随机抽取。上述规定为一组评标专家组成方式，根据项目标段数量和评标工作量，可由多组专家完成评审，但一个标段只能由一组专家评审。</w:t>
            </w:r>
          </w:p>
        </w:tc>
      </w:tr>
      <w:tr w14:paraId="56C08AE1">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D516893">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27.</w:t>
            </w:r>
          </w:p>
        </w:tc>
        <w:tc>
          <w:tcPr>
            <w:tcW w:w="1814" w:type="dxa"/>
            <w:tcBorders>
              <w:top w:val="single" w:color="auto" w:sz="4" w:space="0"/>
              <w:left w:val="single" w:color="auto" w:sz="4" w:space="0"/>
              <w:bottom w:val="single" w:color="auto" w:sz="4" w:space="0"/>
              <w:right w:val="single" w:color="auto" w:sz="4" w:space="0"/>
            </w:tcBorders>
            <w:vAlign w:val="center"/>
          </w:tcPr>
          <w:p w14:paraId="2C91E940">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是否授权磋商小组确定成交人</w:t>
            </w:r>
          </w:p>
        </w:tc>
        <w:tc>
          <w:tcPr>
            <w:tcW w:w="6340" w:type="dxa"/>
            <w:tcBorders>
              <w:top w:val="single" w:color="auto" w:sz="4" w:space="0"/>
              <w:left w:val="single" w:color="auto" w:sz="4" w:space="0"/>
              <w:bottom w:val="single" w:color="auto" w:sz="4" w:space="0"/>
              <w:right w:val="single" w:color="auto" w:sz="4" w:space="0"/>
            </w:tcBorders>
            <w:vAlign w:val="center"/>
          </w:tcPr>
          <w:p w14:paraId="39BE6829">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否，推荐3名中标候选人；</w:t>
            </w:r>
          </w:p>
          <w:p w14:paraId="59D0263B">
            <w:pPr>
              <w:spacing w:line="360" w:lineRule="auto"/>
              <w:ind w:firstLine="480" w:firstLineChars="200"/>
              <w:jc w:val="left"/>
              <w:rPr>
                <w:rFonts w:ascii="宋体" w:hAnsi="宋体" w:eastAsia="宋体"/>
                <w:color w:val="auto"/>
                <w:kern w:val="0"/>
                <w:sz w:val="24"/>
                <w:szCs w:val="20"/>
                <w:highlight w:val="none"/>
              </w:rPr>
            </w:pPr>
            <w:bookmarkStart w:id="33" w:name="_Hlk41395198"/>
            <w:r>
              <w:rPr>
                <w:rFonts w:ascii="宋体" w:hAnsi="宋体" w:eastAsia="宋体"/>
                <w:color w:val="auto"/>
                <w:kern w:val="0"/>
                <w:sz w:val="24"/>
                <w:szCs w:val="20"/>
                <w:highlight w:val="none"/>
              </w:rPr>
              <w:t>以综合评分得分由高到低的顺序推荐前三名为中标候选人，排名第一的中标候选人放弃中标、因不可抗力提出不能履行合同，采购人可以确定第二中标候选人为中标人；依次类推。当所有中标候选人因上述同样原因不能签订合同的，采购人将依法重新招标。</w:t>
            </w:r>
            <w:bookmarkEnd w:id="33"/>
          </w:p>
        </w:tc>
      </w:tr>
      <w:tr w14:paraId="0C77FB9B">
        <w:tblPrEx>
          <w:tblCellMar>
            <w:top w:w="0" w:type="dxa"/>
            <w:left w:w="108" w:type="dxa"/>
            <w:bottom w:w="0" w:type="dxa"/>
            <w:right w:w="108" w:type="dxa"/>
          </w:tblCellMar>
        </w:tblPrEx>
        <w:trPr>
          <w:trHeight w:val="1124"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479043CF">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28.</w:t>
            </w:r>
          </w:p>
        </w:tc>
        <w:tc>
          <w:tcPr>
            <w:tcW w:w="1814" w:type="dxa"/>
            <w:tcBorders>
              <w:top w:val="single" w:color="auto" w:sz="4" w:space="0"/>
              <w:left w:val="single" w:color="auto" w:sz="4" w:space="0"/>
              <w:bottom w:val="single" w:color="auto" w:sz="4" w:space="0"/>
              <w:right w:val="single" w:color="auto" w:sz="4" w:space="0"/>
            </w:tcBorders>
            <w:vAlign w:val="center"/>
          </w:tcPr>
          <w:p w14:paraId="04FD95D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接收质疑函的方式</w:t>
            </w:r>
          </w:p>
        </w:tc>
        <w:tc>
          <w:tcPr>
            <w:tcW w:w="6340" w:type="dxa"/>
            <w:tcBorders>
              <w:top w:val="single" w:color="auto" w:sz="4" w:space="0"/>
              <w:left w:val="single" w:color="auto" w:sz="4" w:space="0"/>
              <w:bottom w:val="single" w:color="auto" w:sz="4" w:space="0"/>
              <w:right w:val="single" w:color="auto" w:sz="4" w:space="0"/>
            </w:tcBorders>
            <w:vAlign w:val="center"/>
          </w:tcPr>
          <w:p w14:paraId="3709FCC6">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质疑函应在《全国公共资源交易平台（河南省•平顶山市）》公共资源交易系统中接收，质疑函的格式和内容应当符合相关法律法规的要求。联系方式如下：</w:t>
            </w:r>
          </w:p>
          <w:p w14:paraId="77C06FBA">
            <w:pPr>
              <w:widowControl/>
              <w:shd w:val="clear" w:color="auto" w:fill="FFFFFF"/>
              <w:snapToGrid w:val="0"/>
              <w:spacing w:line="360" w:lineRule="auto"/>
              <w:ind w:firstLine="480" w:firstLineChars="200"/>
              <w:jc w:val="left"/>
              <w:rPr>
                <w:rFonts w:hint="eastAsia" w:ascii="宋体" w:hAnsi="宋体" w:eastAsia="宋体"/>
                <w:color w:val="auto"/>
                <w:sz w:val="24"/>
                <w:highlight w:val="none"/>
                <w:lang w:eastAsia="zh-CN"/>
              </w:rPr>
            </w:pPr>
            <w:r>
              <w:rPr>
                <w:rFonts w:ascii="宋体" w:hAnsi="宋体" w:eastAsia="宋体"/>
                <w:color w:val="auto"/>
                <w:sz w:val="24"/>
                <w:highlight w:val="none"/>
              </w:rPr>
              <w:t>联系人：</w:t>
            </w:r>
            <w:r>
              <w:rPr>
                <w:rFonts w:hint="eastAsia" w:ascii="宋体" w:hAnsi="宋体"/>
                <w:color w:val="auto"/>
                <w:sz w:val="24"/>
                <w:highlight w:val="none"/>
                <w:lang w:eastAsia="zh-CN"/>
              </w:rPr>
              <w:t>王先生</w:t>
            </w:r>
            <w:r>
              <w:rPr>
                <w:rFonts w:ascii="宋体" w:hAnsi="宋体" w:eastAsia="宋体"/>
                <w:color w:val="auto"/>
                <w:sz w:val="24"/>
                <w:highlight w:val="none"/>
              </w:rPr>
              <w:t xml:space="preserve">    联系电话：</w:t>
            </w:r>
            <w:r>
              <w:rPr>
                <w:rFonts w:hint="eastAsia" w:ascii="宋体" w:hAnsi="宋体"/>
                <w:color w:val="auto"/>
                <w:sz w:val="24"/>
                <w:highlight w:val="none"/>
                <w:lang w:eastAsia="zh-CN"/>
              </w:rPr>
              <w:t>15137566456</w:t>
            </w:r>
          </w:p>
          <w:p w14:paraId="6AB3D63E">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对供应商提出的质疑，采购人、采购代理机构应当依法及时答复和处理，不得推诿扯皮故意刁难，须进行实质性回应。</w:t>
            </w:r>
          </w:p>
        </w:tc>
      </w:tr>
      <w:tr w14:paraId="5C9058DF">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9F44AFD">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29.</w:t>
            </w:r>
          </w:p>
        </w:tc>
        <w:tc>
          <w:tcPr>
            <w:tcW w:w="1814" w:type="dxa"/>
            <w:tcBorders>
              <w:top w:val="single" w:color="auto" w:sz="4" w:space="0"/>
              <w:left w:val="single" w:color="auto" w:sz="4" w:space="0"/>
              <w:bottom w:val="single" w:color="auto" w:sz="4" w:space="0"/>
              <w:right w:val="single" w:color="auto" w:sz="4" w:space="0"/>
            </w:tcBorders>
            <w:vAlign w:val="center"/>
          </w:tcPr>
          <w:p w14:paraId="128749AF">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最高投标限价</w:t>
            </w:r>
          </w:p>
        </w:tc>
        <w:tc>
          <w:tcPr>
            <w:tcW w:w="6340" w:type="dxa"/>
            <w:tcBorders>
              <w:top w:val="single" w:color="auto" w:sz="4" w:space="0"/>
              <w:left w:val="single" w:color="auto" w:sz="4" w:space="0"/>
              <w:bottom w:val="single" w:color="auto" w:sz="4" w:space="0"/>
              <w:right w:val="single" w:color="auto" w:sz="4" w:space="0"/>
            </w:tcBorders>
            <w:vAlign w:val="center"/>
          </w:tcPr>
          <w:p w14:paraId="155237AF">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最高限价：</w:t>
            </w:r>
            <w:r>
              <w:rPr>
                <w:rFonts w:hint="eastAsia" w:ascii="宋体" w:hAnsi="宋体"/>
                <w:color w:val="auto"/>
                <w:kern w:val="0"/>
                <w:sz w:val="24"/>
                <w:szCs w:val="20"/>
                <w:highlight w:val="none"/>
                <w:lang w:val="en-US" w:eastAsia="zh-CN"/>
              </w:rPr>
              <w:t>350000</w:t>
            </w:r>
            <w:r>
              <w:rPr>
                <w:rFonts w:ascii="宋体" w:hAnsi="宋体" w:eastAsia="宋体"/>
                <w:color w:val="auto"/>
                <w:kern w:val="0"/>
                <w:sz w:val="24"/>
                <w:szCs w:val="20"/>
                <w:highlight w:val="none"/>
              </w:rPr>
              <w:t>.00元</w:t>
            </w:r>
          </w:p>
          <w:p w14:paraId="6B852901">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注：超出最高限价按废标处理。</w:t>
            </w:r>
          </w:p>
        </w:tc>
      </w:tr>
      <w:tr w14:paraId="5D5DFEF8">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741A3ED9">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30.</w:t>
            </w:r>
          </w:p>
        </w:tc>
        <w:tc>
          <w:tcPr>
            <w:tcW w:w="1814" w:type="dxa"/>
            <w:tcBorders>
              <w:top w:val="single" w:color="auto" w:sz="4" w:space="0"/>
              <w:left w:val="single" w:color="auto" w:sz="4" w:space="0"/>
              <w:bottom w:val="single" w:color="auto" w:sz="4" w:space="0"/>
              <w:right w:val="single" w:color="auto" w:sz="4" w:space="0"/>
            </w:tcBorders>
            <w:vAlign w:val="center"/>
          </w:tcPr>
          <w:p w14:paraId="5EB45385">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招标代理服务费</w:t>
            </w:r>
          </w:p>
        </w:tc>
        <w:tc>
          <w:tcPr>
            <w:tcW w:w="6340" w:type="dxa"/>
            <w:tcBorders>
              <w:top w:val="single" w:color="auto" w:sz="4" w:space="0"/>
              <w:left w:val="single" w:color="auto" w:sz="4" w:space="0"/>
              <w:bottom w:val="single" w:color="auto" w:sz="4" w:space="0"/>
              <w:right w:val="single" w:color="auto" w:sz="4" w:space="0"/>
            </w:tcBorders>
            <w:vAlign w:val="center"/>
          </w:tcPr>
          <w:p w14:paraId="26343588">
            <w:pPr>
              <w:spacing w:line="360" w:lineRule="auto"/>
              <w:ind w:firstLine="480" w:firstLineChars="200"/>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参考发改办【2015】299号文件及豫招协【2023】002号文件规定向中标人收取，招标代理服务费为</w:t>
            </w:r>
            <w:r>
              <w:rPr>
                <w:rFonts w:hint="eastAsia" w:ascii="宋体" w:hAnsi="宋体"/>
                <w:color w:val="auto"/>
                <w:kern w:val="0"/>
                <w:sz w:val="24"/>
                <w:szCs w:val="20"/>
                <w:highlight w:val="none"/>
                <w:lang w:val="en-US" w:eastAsia="zh-CN"/>
              </w:rPr>
              <w:t>100</w:t>
            </w:r>
            <w:r>
              <w:rPr>
                <w:rFonts w:ascii="宋体" w:hAnsi="宋体" w:eastAsia="宋体"/>
                <w:color w:val="auto"/>
                <w:kern w:val="0"/>
                <w:sz w:val="24"/>
                <w:szCs w:val="20"/>
                <w:highlight w:val="none"/>
              </w:rPr>
              <w:t>00.00元，此项费用由投标人综合考虑到投标报价中，不单独列项报价。</w:t>
            </w:r>
          </w:p>
        </w:tc>
      </w:tr>
      <w:tr w14:paraId="5132A3E5">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4EC6D9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31.</w:t>
            </w:r>
          </w:p>
        </w:tc>
        <w:tc>
          <w:tcPr>
            <w:tcW w:w="1814" w:type="dxa"/>
            <w:tcBorders>
              <w:top w:val="single" w:color="auto" w:sz="4" w:space="0"/>
              <w:left w:val="single" w:color="auto" w:sz="4" w:space="0"/>
              <w:bottom w:val="single" w:color="auto" w:sz="4" w:space="0"/>
              <w:right w:val="single" w:color="auto" w:sz="4" w:space="0"/>
            </w:tcBorders>
            <w:vAlign w:val="center"/>
          </w:tcPr>
          <w:p w14:paraId="61BB8B23">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付款方式</w:t>
            </w:r>
          </w:p>
        </w:tc>
        <w:tc>
          <w:tcPr>
            <w:tcW w:w="6340" w:type="dxa"/>
            <w:tcBorders>
              <w:top w:val="single" w:color="auto" w:sz="4" w:space="0"/>
              <w:left w:val="single" w:color="auto" w:sz="4" w:space="0"/>
              <w:bottom w:val="single" w:color="auto" w:sz="4" w:space="0"/>
              <w:right w:val="single" w:color="auto" w:sz="4" w:space="0"/>
            </w:tcBorders>
            <w:vAlign w:val="center"/>
          </w:tcPr>
          <w:p w14:paraId="602E8AD3">
            <w:pPr>
              <w:snapToGrid w:val="0"/>
              <w:spacing w:line="360" w:lineRule="auto"/>
              <w:ind w:firstLine="240" w:firstLineChars="100"/>
              <w:rPr>
                <w:rFonts w:ascii="宋体" w:hAnsi="宋体" w:eastAsia="宋体"/>
                <w:color w:val="auto"/>
                <w:sz w:val="24"/>
                <w:highlight w:val="none"/>
              </w:rPr>
            </w:pPr>
            <w:r>
              <w:rPr>
                <w:rFonts w:hint="eastAsia" w:ascii="宋体" w:hAnsi="宋体" w:eastAsia="宋体"/>
                <w:color w:val="auto"/>
                <w:sz w:val="24"/>
                <w:highlight w:val="none"/>
              </w:rPr>
              <w:t>合同签订生效后，乙方按甲方要求，积极组织方案编制，完成</w:t>
            </w:r>
            <w:r>
              <w:rPr>
                <w:rFonts w:hint="eastAsia" w:ascii="宋体" w:hAnsi="宋体" w:eastAsia="宋体"/>
                <w:color w:val="auto"/>
                <w:sz w:val="24"/>
                <w:highlight w:val="none"/>
                <w:lang w:val="en-US" w:eastAsia="zh-CN"/>
              </w:rPr>
              <w:t>规划文本初稿</w:t>
            </w:r>
            <w:r>
              <w:rPr>
                <w:rFonts w:hint="eastAsia" w:ascii="宋体" w:hAnsi="宋体" w:eastAsia="宋体"/>
                <w:color w:val="auto"/>
                <w:sz w:val="24"/>
                <w:highlight w:val="none"/>
              </w:rPr>
              <w:t>后，甲方向乙方支付合同额50%作为首付款，乙方完成收集资料、</w:t>
            </w:r>
            <w:r>
              <w:rPr>
                <w:rFonts w:hint="eastAsia" w:ascii="宋体" w:hAnsi="宋体" w:eastAsia="宋体"/>
                <w:color w:val="auto"/>
                <w:sz w:val="24"/>
                <w:highlight w:val="none"/>
                <w:lang w:val="en-US" w:eastAsia="zh-CN"/>
              </w:rPr>
              <w:t>出具送审规划</w:t>
            </w:r>
            <w:r>
              <w:rPr>
                <w:rFonts w:hint="eastAsia" w:ascii="宋体" w:hAnsi="宋体" w:eastAsia="宋体"/>
                <w:color w:val="auto"/>
                <w:sz w:val="24"/>
                <w:highlight w:val="none"/>
              </w:rPr>
              <w:t>成果后甲方向乙方支付合同额40%，乙方完成</w:t>
            </w:r>
            <w:r>
              <w:rPr>
                <w:rFonts w:hint="eastAsia" w:ascii="宋体" w:hAnsi="宋体" w:eastAsia="宋体"/>
                <w:color w:val="auto"/>
                <w:sz w:val="24"/>
                <w:highlight w:val="none"/>
                <w:lang w:val="en-US" w:eastAsia="zh-CN"/>
              </w:rPr>
              <w:t>成果最终验收并通过后</w:t>
            </w:r>
            <w:r>
              <w:rPr>
                <w:rFonts w:hint="eastAsia" w:ascii="宋体" w:hAnsi="宋体" w:eastAsia="宋体"/>
                <w:color w:val="auto"/>
                <w:sz w:val="24"/>
                <w:highlight w:val="none"/>
              </w:rPr>
              <w:t>十个工作日内，甲方向乙方支付合同额剩余10%。</w:t>
            </w:r>
          </w:p>
        </w:tc>
      </w:tr>
      <w:tr w14:paraId="2E82729B">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2A6ECBF0">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32.</w:t>
            </w:r>
          </w:p>
        </w:tc>
        <w:tc>
          <w:tcPr>
            <w:tcW w:w="1814" w:type="dxa"/>
            <w:tcBorders>
              <w:top w:val="single" w:color="auto" w:sz="4" w:space="0"/>
              <w:left w:val="single" w:color="auto" w:sz="4" w:space="0"/>
              <w:bottom w:val="single" w:color="auto" w:sz="4" w:space="0"/>
              <w:right w:val="single" w:color="auto" w:sz="4" w:space="0"/>
            </w:tcBorders>
            <w:vAlign w:val="center"/>
          </w:tcPr>
          <w:p w14:paraId="2EA131A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本项目所属行业</w:t>
            </w:r>
          </w:p>
        </w:tc>
        <w:tc>
          <w:tcPr>
            <w:tcW w:w="6340" w:type="dxa"/>
            <w:tcBorders>
              <w:top w:val="single" w:color="auto" w:sz="4" w:space="0"/>
              <w:left w:val="single" w:color="auto" w:sz="4" w:space="0"/>
              <w:bottom w:val="single" w:color="auto" w:sz="4" w:space="0"/>
              <w:right w:val="single" w:color="auto" w:sz="4" w:space="0"/>
            </w:tcBorders>
            <w:vAlign w:val="center"/>
          </w:tcPr>
          <w:p w14:paraId="326AA625">
            <w:pPr>
              <w:snapToGrid w:val="0"/>
              <w:spacing w:line="360" w:lineRule="auto"/>
              <w:ind w:firstLine="240" w:firstLineChars="100"/>
              <w:rPr>
                <w:rFonts w:ascii="宋体" w:hAnsi="宋体" w:eastAsia="宋体"/>
                <w:color w:val="auto"/>
                <w:sz w:val="24"/>
                <w:highlight w:val="none"/>
              </w:rPr>
            </w:pPr>
            <w:r>
              <w:rPr>
                <w:rFonts w:ascii="宋体" w:hAnsi="宋体" w:eastAsia="宋体"/>
                <w:color w:val="auto"/>
                <w:sz w:val="24"/>
                <w:highlight w:val="none"/>
              </w:rPr>
              <w:t>本项目所属行业为其他未列明行业</w:t>
            </w:r>
          </w:p>
        </w:tc>
      </w:tr>
      <w:tr w14:paraId="3A7D241B">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332C696B">
            <w:pPr>
              <w:snapToGrid w:val="0"/>
              <w:jc w:val="center"/>
              <w:rPr>
                <w:rFonts w:hAnsi="宋体" w:eastAsia="宋体"/>
                <w:color w:val="auto"/>
                <w:sz w:val="24"/>
                <w:highlight w:val="none"/>
              </w:rPr>
            </w:pPr>
            <w:r>
              <w:rPr>
                <w:rFonts w:hAnsi="宋体" w:eastAsia="宋体"/>
                <w:color w:val="auto"/>
                <w:sz w:val="24"/>
                <w:highlight w:val="none"/>
              </w:rPr>
              <w:t>33.</w:t>
            </w:r>
          </w:p>
        </w:tc>
        <w:tc>
          <w:tcPr>
            <w:tcW w:w="1814" w:type="dxa"/>
            <w:tcBorders>
              <w:top w:val="single" w:color="auto" w:sz="4" w:space="0"/>
              <w:left w:val="single" w:color="auto" w:sz="4" w:space="0"/>
              <w:bottom w:val="single" w:color="auto" w:sz="4" w:space="0"/>
              <w:right w:val="single" w:color="auto" w:sz="4" w:space="0"/>
            </w:tcBorders>
            <w:vAlign w:val="center"/>
          </w:tcPr>
          <w:p w14:paraId="30A6571B">
            <w:pPr>
              <w:snapToGrid w:val="0"/>
              <w:rPr>
                <w:rFonts w:ascii="宋体" w:hAnsi="宋体" w:eastAsia="宋体"/>
                <w:color w:val="auto"/>
                <w:kern w:val="0"/>
                <w:sz w:val="24"/>
                <w:szCs w:val="20"/>
                <w:highlight w:val="none"/>
              </w:rPr>
            </w:pPr>
            <w:r>
              <w:rPr>
                <w:rFonts w:ascii="宋体" w:hAnsi="宋体" w:eastAsia="宋体"/>
                <w:color w:val="auto"/>
                <w:kern w:val="0"/>
                <w:sz w:val="24"/>
                <w:szCs w:val="20"/>
                <w:highlight w:val="none"/>
              </w:rPr>
              <w:t>中小企业划型标准</w:t>
            </w:r>
          </w:p>
        </w:tc>
        <w:tc>
          <w:tcPr>
            <w:tcW w:w="6340" w:type="dxa"/>
            <w:tcBorders>
              <w:top w:val="single" w:color="auto" w:sz="4" w:space="0"/>
              <w:left w:val="single" w:color="auto" w:sz="4" w:space="0"/>
              <w:bottom w:val="single" w:color="auto" w:sz="4" w:space="0"/>
              <w:right w:val="single" w:color="auto" w:sz="4" w:space="0"/>
            </w:tcBorders>
            <w:vAlign w:val="center"/>
          </w:tcPr>
          <w:p w14:paraId="2D1EF870">
            <w:pPr>
              <w:snapToGrid w:val="0"/>
              <w:spacing w:line="360" w:lineRule="auto"/>
              <w:ind w:firstLine="240" w:firstLineChars="100"/>
              <w:rPr>
                <w:rFonts w:ascii="宋体" w:hAnsi="宋体" w:eastAsia="宋体"/>
                <w:color w:val="auto"/>
                <w:sz w:val="24"/>
                <w:highlight w:val="none"/>
              </w:rPr>
            </w:pPr>
            <w:r>
              <w:rPr>
                <w:rFonts w:ascii="宋体" w:hAnsi="宋体" w:eastAsia="宋体"/>
                <w:color w:val="auto"/>
                <w:sz w:val="24"/>
                <w:highlight w:val="none"/>
              </w:rPr>
              <w:t>中小微企业划分按照“工业和信息化部、国家统计局、国家发展和改革委员会、财政部文件《关于印发中小企业划型标准规定的通知》（工信部联企业【2011】300号）”规定的划型标准为依据。</w:t>
            </w:r>
          </w:p>
        </w:tc>
      </w:tr>
      <w:tr w14:paraId="081FAE5E">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5B61E78">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34.</w:t>
            </w:r>
          </w:p>
        </w:tc>
        <w:tc>
          <w:tcPr>
            <w:tcW w:w="1814" w:type="dxa"/>
            <w:tcBorders>
              <w:top w:val="single" w:color="auto" w:sz="4" w:space="0"/>
              <w:left w:val="single" w:color="auto" w:sz="4" w:space="0"/>
              <w:bottom w:val="single" w:color="auto" w:sz="4" w:space="0"/>
              <w:right w:val="single" w:color="auto" w:sz="4" w:space="0"/>
            </w:tcBorders>
            <w:vAlign w:val="center"/>
          </w:tcPr>
          <w:p w14:paraId="06DB8354">
            <w:pPr>
              <w:spacing w:line="360" w:lineRule="auto"/>
              <w:jc w:val="left"/>
              <w:rPr>
                <w:rFonts w:ascii="宋体" w:hAnsi="宋体" w:eastAsia="宋体"/>
                <w:color w:val="auto"/>
                <w:kern w:val="0"/>
                <w:sz w:val="24"/>
                <w:highlight w:val="none"/>
              </w:rPr>
            </w:pPr>
            <w:r>
              <w:rPr>
                <w:rFonts w:ascii="宋体" w:hAnsi="宋体" w:eastAsia="宋体"/>
                <w:color w:val="auto"/>
                <w:kern w:val="0"/>
                <w:sz w:val="24"/>
                <w:highlight w:val="none"/>
              </w:rPr>
              <w:t>政采领域优化营商环境相关政策</w:t>
            </w:r>
          </w:p>
        </w:tc>
        <w:tc>
          <w:tcPr>
            <w:tcW w:w="6340" w:type="dxa"/>
            <w:tcBorders>
              <w:top w:val="single" w:color="auto" w:sz="4" w:space="0"/>
              <w:left w:val="single" w:color="auto" w:sz="4" w:space="0"/>
              <w:bottom w:val="single" w:color="auto" w:sz="4" w:space="0"/>
              <w:right w:val="single" w:color="auto" w:sz="4" w:space="0"/>
            </w:tcBorders>
            <w:vAlign w:val="center"/>
          </w:tcPr>
          <w:p w14:paraId="3B9E4937">
            <w:pPr>
              <w:snapToGrid w:val="0"/>
              <w:rPr>
                <w:rFonts w:ascii="宋体" w:hAnsi="宋体" w:eastAsia="宋体"/>
                <w:b/>
                <w:color w:val="auto"/>
                <w:sz w:val="24"/>
                <w:highlight w:val="none"/>
              </w:rPr>
            </w:pPr>
            <w:r>
              <w:rPr>
                <w:rFonts w:ascii="宋体" w:hAnsi="宋体" w:eastAsia="宋体"/>
                <w:b/>
                <w:color w:val="auto"/>
                <w:sz w:val="24"/>
                <w:highlight w:val="none"/>
              </w:rPr>
              <w:t>一、落实四个“一日办”精神：</w:t>
            </w:r>
          </w:p>
          <w:p w14:paraId="4B7C2D97">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按照《平顶山市财政局关于压减政府采购各环节时限 进一步优化政府采购营商环境的通知》（平财购〔2021〕34号）通知，落实四个“一日办”精神：</w:t>
            </w:r>
          </w:p>
          <w:p w14:paraId="5192636F">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（1）在评审结束后1日内确定采购结果，同时对中标单位发出中标或成交通知书，并在网上进行公告；</w:t>
            </w:r>
          </w:p>
          <w:p w14:paraId="299A070D">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（2）中标或成交通知书发出后，1日内与中标或成交供应商签订合同，合同签订当日完成合同备案工作；</w:t>
            </w:r>
          </w:p>
          <w:p w14:paraId="2C46E48B">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（3）政府采购项目供应商履约完成后，采购人应在供应商提出验收申请1个工作日内完成验收，同时在平顶山市政府采购网发布验收结果公告；</w:t>
            </w:r>
          </w:p>
          <w:p w14:paraId="067035DE">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（4）验收合格具备付款条件的项目，采购人要在1个工作日内按照合同约定支付项目资金。</w:t>
            </w:r>
          </w:p>
          <w:p w14:paraId="23A32B08">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注：签合同需法定代表人携带本人身份证（如为授权委托人，则携带法定代表人授权委托书及本人身份证）、单位公章、合同纸质版本一式六份及合同电子版。</w:t>
            </w:r>
          </w:p>
          <w:p w14:paraId="25EF8B38">
            <w:pPr>
              <w:snapToGrid w:val="0"/>
              <w:rPr>
                <w:rFonts w:ascii="宋体" w:hAnsi="宋体" w:eastAsia="宋体"/>
                <w:b/>
                <w:color w:val="auto"/>
                <w:sz w:val="24"/>
                <w:highlight w:val="none"/>
              </w:rPr>
            </w:pPr>
            <w:r>
              <w:rPr>
                <w:rFonts w:ascii="宋体" w:hAnsi="宋体" w:eastAsia="宋体"/>
                <w:b/>
                <w:color w:val="auto"/>
                <w:sz w:val="24"/>
                <w:highlight w:val="none"/>
              </w:rPr>
              <w:t>二、维护企业在政府采购活动中的知情权</w:t>
            </w:r>
          </w:p>
          <w:p w14:paraId="2B6F6EE0">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50E73C35">
            <w:pPr>
              <w:snapToGrid w:val="0"/>
              <w:rPr>
                <w:rFonts w:ascii="宋体" w:hAnsi="宋体" w:eastAsia="宋体"/>
                <w:b/>
                <w:color w:val="auto"/>
                <w:sz w:val="24"/>
                <w:highlight w:val="none"/>
              </w:rPr>
            </w:pPr>
            <w:r>
              <w:rPr>
                <w:rFonts w:ascii="宋体" w:hAnsi="宋体" w:eastAsia="宋体"/>
                <w:b/>
                <w:color w:val="auto"/>
                <w:sz w:val="24"/>
                <w:highlight w:val="none"/>
              </w:rPr>
              <w:t>三、提供中小企业声明函格式</w:t>
            </w:r>
          </w:p>
          <w:p w14:paraId="79A1442B">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在采购文件中，采购代理机构应按照财政部、工信部印发的《政府采购促进中小企业发展管理办法》的通知精神（财库〔2020〕46号）提供中小企业声明函格式。</w:t>
            </w:r>
          </w:p>
          <w:p w14:paraId="56F1C03A">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根据政府采购促进中小企业发展管理办法》（财库〔2020〕46号）第四条：在政府采购活动中，供应商提供的货物、工程或者服务符合下列情形的，享受本办法规定的中小企业扶持政策：</w:t>
            </w:r>
          </w:p>
          <w:p w14:paraId="211212FF">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（一）在货物采购项目中，货物由中小企业制造，即货物由中小企业生产且使用该中小企业商号或者注册商标；</w:t>
            </w:r>
          </w:p>
          <w:p w14:paraId="2EAF6A17">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（二）在工程采购项目中，工程由中小企业承建，即工程施工单位为中小企业；</w:t>
            </w:r>
          </w:p>
          <w:p w14:paraId="744BD87F">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（三）在服务采购项目中，服务由中小企业承接，即提供服务的人员为中小企业依照《中华人民共和国劳动合同法》订立劳动合同的从业人员。</w:t>
            </w:r>
          </w:p>
          <w:p w14:paraId="797320CC">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在货物采购项目中，投标人提供的货物既有中小企业制造货物，也有大型企业制造货物的，不享受本办法规定的中小企业扶持政策。</w:t>
            </w:r>
          </w:p>
          <w:p w14:paraId="2F3F5944">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以联合体形式参加政府采购活动，联合体各方均为中小企业的，联合体视同中小企业。其中，联合体各方均为小微企业的，联合体视同小微企业。</w:t>
            </w:r>
          </w:p>
          <w:p w14:paraId="0CACAC06">
            <w:pPr>
              <w:snapToGrid w:val="0"/>
              <w:rPr>
                <w:rFonts w:ascii="宋体" w:hAnsi="宋体" w:eastAsia="宋体"/>
                <w:b/>
                <w:color w:val="auto"/>
                <w:sz w:val="24"/>
                <w:highlight w:val="none"/>
              </w:rPr>
            </w:pPr>
            <w:r>
              <w:rPr>
                <w:rFonts w:ascii="宋体" w:hAnsi="宋体" w:eastAsia="宋体"/>
                <w:b/>
                <w:color w:val="auto"/>
                <w:sz w:val="24"/>
                <w:highlight w:val="none"/>
              </w:rPr>
              <w:t>四、推广政府采购合同融资</w:t>
            </w:r>
          </w:p>
          <w:p w14:paraId="5915C4D8">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要求采购人和代理机构将“政府采购合同融资告知函”写入招标/磋商文件，鼓励中标供应商凭借采购合同申请贷款，助力解决中小企业融资难、融资贵的问题。</w:t>
            </w:r>
          </w:p>
          <w:p w14:paraId="1BC3253A">
            <w:pPr>
              <w:snapToGrid w:val="0"/>
              <w:rPr>
                <w:rFonts w:ascii="宋体" w:hAnsi="宋体" w:eastAsia="宋体"/>
                <w:b/>
                <w:color w:val="auto"/>
                <w:sz w:val="24"/>
                <w:highlight w:val="none"/>
              </w:rPr>
            </w:pPr>
            <w:r>
              <w:rPr>
                <w:rFonts w:ascii="宋体" w:hAnsi="宋体" w:eastAsia="宋体"/>
                <w:b/>
                <w:color w:val="auto"/>
                <w:sz w:val="24"/>
                <w:highlight w:val="none"/>
              </w:rPr>
              <w:t>五、落实预留采购份额</w:t>
            </w:r>
          </w:p>
          <w:p w14:paraId="644A6E57">
            <w:pPr>
              <w:snapToGrid w:val="0"/>
              <w:ind w:firstLine="480" w:firstLineChars="200"/>
              <w:rPr>
                <w:rFonts w:ascii="宋体" w:hAnsi="宋体" w:eastAsia="宋体"/>
                <w:color w:val="auto"/>
                <w:sz w:val="24"/>
                <w:highlight w:val="none"/>
              </w:rPr>
            </w:pPr>
            <w:r>
              <w:rPr>
                <w:rFonts w:ascii="宋体" w:hAnsi="宋体" w:eastAsia="宋体"/>
                <w:color w:val="auto"/>
                <w:sz w:val="24"/>
                <w:highlight w:val="none"/>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7F355041">
            <w:pPr>
              <w:snapToGrid w:val="0"/>
              <w:rPr>
                <w:rFonts w:ascii="宋体" w:hAnsi="宋体" w:eastAsia="宋体"/>
                <w:b/>
                <w:color w:val="auto"/>
                <w:sz w:val="24"/>
                <w:highlight w:val="none"/>
              </w:rPr>
            </w:pPr>
            <w:r>
              <w:rPr>
                <w:rFonts w:ascii="宋体" w:hAnsi="宋体" w:eastAsia="宋体"/>
                <w:b/>
                <w:color w:val="auto"/>
                <w:sz w:val="24"/>
                <w:highlight w:val="none"/>
              </w:rPr>
              <w:t>六、落实价格评审优惠政策（本项目专门面向中小企业采购，不再执行价格评审优惠政策）</w:t>
            </w:r>
          </w:p>
          <w:p w14:paraId="4709D880">
            <w:pPr>
              <w:widowControl/>
              <w:snapToGrid w:val="0"/>
              <w:ind w:firstLine="480" w:firstLineChars="200"/>
              <w:jc w:val="left"/>
              <w:rPr>
                <w:rFonts w:ascii="宋体" w:hAnsi="宋体" w:eastAsia="宋体"/>
                <w:color w:val="auto"/>
                <w:sz w:val="24"/>
                <w:highlight w:val="none"/>
              </w:rPr>
            </w:pPr>
            <w:r>
              <w:rPr>
                <w:rFonts w:ascii="宋体" w:hAnsi="宋体" w:eastAsia="宋体"/>
                <w:color w:val="auto"/>
                <w:sz w:val="24"/>
                <w:highlight w:val="none"/>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14:paraId="315826FB">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2B14087">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35.</w:t>
            </w:r>
          </w:p>
        </w:tc>
        <w:tc>
          <w:tcPr>
            <w:tcW w:w="1814" w:type="dxa"/>
            <w:tcBorders>
              <w:top w:val="single" w:color="auto" w:sz="4" w:space="0"/>
              <w:left w:val="single" w:color="auto" w:sz="4" w:space="0"/>
              <w:bottom w:val="single" w:color="auto" w:sz="4" w:space="0"/>
              <w:right w:val="single" w:color="auto" w:sz="4" w:space="0"/>
            </w:tcBorders>
            <w:vAlign w:val="center"/>
          </w:tcPr>
          <w:p w14:paraId="4DD557F0">
            <w:pPr>
              <w:snapToGrid w:val="0"/>
              <w:ind w:firstLine="120" w:firstLineChars="50"/>
              <w:rPr>
                <w:rFonts w:ascii="宋体" w:hAnsi="宋体" w:eastAsia="宋体"/>
                <w:color w:val="auto"/>
                <w:kern w:val="0"/>
                <w:sz w:val="24"/>
                <w:highlight w:val="none"/>
              </w:rPr>
            </w:pPr>
            <w:r>
              <w:rPr>
                <w:rFonts w:ascii="宋体" w:hAnsi="宋体" w:eastAsia="宋体"/>
                <w:color w:val="auto"/>
                <w:kern w:val="0"/>
                <w:sz w:val="24"/>
                <w:highlight w:val="none"/>
              </w:rPr>
              <w:t>政府采购项目信用评价</w:t>
            </w:r>
          </w:p>
        </w:tc>
        <w:tc>
          <w:tcPr>
            <w:tcW w:w="6340" w:type="dxa"/>
            <w:tcBorders>
              <w:top w:val="single" w:color="auto" w:sz="4" w:space="0"/>
              <w:left w:val="single" w:color="auto" w:sz="4" w:space="0"/>
              <w:bottom w:val="single" w:color="auto" w:sz="4" w:space="0"/>
              <w:right w:val="single" w:color="auto" w:sz="4" w:space="0"/>
            </w:tcBorders>
            <w:vAlign w:val="center"/>
          </w:tcPr>
          <w:p w14:paraId="21A6B784">
            <w:pPr>
              <w:snapToGrid w:val="0"/>
              <w:jc w:val="center"/>
              <w:rPr>
                <w:rFonts w:ascii="宋体" w:hAnsi="宋体" w:eastAsia="宋体"/>
                <w:bCs/>
                <w:color w:val="auto"/>
                <w:sz w:val="24"/>
                <w:highlight w:val="none"/>
              </w:rPr>
            </w:pPr>
            <w:r>
              <w:rPr>
                <w:rFonts w:ascii="宋体" w:hAnsi="宋体" w:eastAsia="宋体"/>
                <w:bCs/>
                <w:color w:val="auto"/>
                <w:sz w:val="24"/>
                <w:highlight w:val="none"/>
              </w:rPr>
              <w:t>鲁山县财政局关于实行政府采购项目信用评价的通知</w:t>
            </w:r>
          </w:p>
          <w:p w14:paraId="63175D80">
            <w:pPr>
              <w:snapToGrid w:val="0"/>
              <w:rPr>
                <w:rFonts w:ascii="宋体" w:hAnsi="宋体" w:eastAsia="宋体"/>
                <w:bCs/>
                <w:color w:val="auto"/>
                <w:sz w:val="24"/>
                <w:highlight w:val="none"/>
              </w:rPr>
            </w:pPr>
            <w:r>
              <w:rPr>
                <w:rFonts w:ascii="宋体" w:hAnsi="宋体" w:eastAsia="宋体"/>
                <w:bCs/>
                <w:color w:val="auto"/>
                <w:sz w:val="24"/>
                <w:highlight w:val="none"/>
              </w:rPr>
              <w:t>县直各预算单位，各乡镇办事处，各政府采购代理机构、</w:t>
            </w:r>
            <w:r>
              <w:rPr>
                <w:rFonts w:ascii="宋体" w:hAnsi="宋体" w:eastAsia="宋体"/>
                <w:b/>
                <w:color w:val="auto"/>
                <w:sz w:val="24"/>
                <w:highlight w:val="none"/>
              </w:rPr>
              <w:t>评审专家</w:t>
            </w:r>
            <w:r>
              <w:rPr>
                <w:rFonts w:ascii="宋体" w:hAnsi="宋体" w:eastAsia="宋体"/>
                <w:bCs/>
                <w:color w:val="auto"/>
                <w:sz w:val="24"/>
                <w:highlight w:val="none"/>
              </w:rPr>
              <w:t>、</w:t>
            </w:r>
            <w:r>
              <w:rPr>
                <w:rFonts w:ascii="宋体" w:hAnsi="宋体" w:eastAsia="宋体"/>
                <w:b/>
                <w:color w:val="auto"/>
                <w:sz w:val="24"/>
                <w:highlight w:val="none"/>
              </w:rPr>
              <w:t>供应商</w:t>
            </w:r>
            <w:r>
              <w:rPr>
                <w:rFonts w:ascii="宋体" w:hAnsi="宋体" w:eastAsia="宋体"/>
                <w:bCs/>
                <w:color w:val="auto"/>
                <w:sz w:val="24"/>
                <w:highlight w:val="none"/>
              </w:rPr>
              <w:t>：</w:t>
            </w:r>
          </w:p>
          <w:p w14:paraId="76C83A7A">
            <w:pPr>
              <w:snapToGrid w:val="0"/>
              <w:ind w:firstLine="480" w:firstLineChars="200"/>
              <w:rPr>
                <w:rFonts w:ascii="宋体" w:hAnsi="宋体" w:eastAsia="宋体"/>
                <w:bCs/>
                <w:color w:val="auto"/>
                <w:sz w:val="24"/>
                <w:highlight w:val="none"/>
              </w:rPr>
            </w:pPr>
            <w:r>
              <w:rPr>
                <w:rFonts w:ascii="宋体" w:hAnsi="宋体" w:eastAsia="宋体"/>
                <w:bCs/>
                <w:color w:val="auto"/>
                <w:sz w:val="24"/>
                <w:highlight w:val="none"/>
              </w:rPr>
              <w:t>为进一步规范政府采购行为，优化政府采购营商环境，鲁山县政府采购网新增“信用评价”功能，即日起，我县所有政府采购项目实行信用评价。现将有关事项通知如下：</w:t>
            </w:r>
          </w:p>
          <w:p w14:paraId="0B68783B">
            <w:pPr>
              <w:snapToGrid w:val="0"/>
              <w:rPr>
                <w:rFonts w:ascii="宋体" w:hAnsi="宋体" w:eastAsia="宋体"/>
                <w:bCs/>
                <w:color w:val="auto"/>
                <w:sz w:val="24"/>
                <w:highlight w:val="none"/>
              </w:rPr>
            </w:pPr>
            <w:r>
              <w:rPr>
                <w:rFonts w:ascii="宋体" w:hAnsi="宋体" w:eastAsia="宋体"/>
                <w:bCs/>
                <w:color w:val="auto"/>
                <w:sz w:val="24"/>
                <w:highlight w:val="none"/>
              </w:rPr>
              <w:t>一、评价方式</w:t>
            </w:r>
          </w:p>
          <w:p w14:paraId="221E7B98">
            <w:pPr>
              <w:snapToGrid w:val="0"/>
              <w:ind w:firstLine="480" w:firstLineChars="200"/>
              <w:rPr>
                <w:rFonts w:ascii="宋体" w:hAnsi="宋体" w:eastAsia="宋体"/>
                <w:bCs/>
                <w:color w:val="auto"/>
                <w:sz w:val="24"/>
                <w:highlight w:val="none"/>
              </w:rPr>
            </w:pPr>
            <w:r>
              <w:rPr>
                <w:rFonts w:ascii="宋体" w:hAnsi="宋体" w:eastAsia="宋体"/>
                <w:bCs/>
                <w:color w:val="auto"/>
                <w:sz w:val="24"/>
                <w:highlight w:val="none"/>
              </w:rPr>
              <w:t>通过鲁山县政府采购网-评价管理-信用评价模块进行评价，</w:t>
            </w:r>
            <w:r>
              <w:rPr>
                <w:rFonts w:ascii="宋体" w:hAnsi="宋体" w:eastAsia="宋体"/>
                <w:b/>
                <w:color w:val="auto"/>
                <w:sz w:val="24"/>
                <w:highlight w:val="none"/>
              </w:rPr>
              <w:t>供应商未注册账号的需先注册。★</w:t>
            </w:r>
          </w:p>
          <w:p w14:paraId="53F39740">
            <w:pPr>
              <w:snapToGrid w:val="0"/>
              <w:rPr>
                <w:rFonts w:ascii="宋体" w:hAnsi="宋体" w:eastAsia="宋体"/>
                <w:bCs/>
                <w:color w:val="auto"/>
                <w:sz w:val="24"/>
                <w:highlight w:val="none"/>
              </w:rPr>
            </w:pPr>
            <w:r>
              <w:rPr>
                <w:rFonts w:ascii="宋体" w:hAnsi="宋体" w:eastAsia="宋体"/>
                <w:bCs/>
                <w:color w:val="auto"/>
                <w:sz w:val="24"/>
                <w:highlight w:val="none"/>
              </w:rPr>
              <w:t>二、评价要求</w:t>
            </w:r>
          </w:p>
          <w:p w14:paraId="45BA8216">
            <w:pPr>
              <w:snapToGrid w:val="0"/>
              <w:ind w:firstLine="480" w:firstLineChars="200"/>
              <w:rPr>
                <w:rFonts w:ascii="宋体" w:hAnsi="宋体" w:eastAsia="宋体"/>
                <w:bCs/>
                <w:color w:val="auto"/>
                <w:sz w:val="24"/>
                <w:highlight w:val="none"/>
              </w:rPr>
            </w:pPr>
            <w:r>
              <w:rPr>
                <w:rFonts w:ascii="宋体" w:hAnsi="宋体" w:eastAsia="宋体"/>
                <w:bCs/>
                <w:color w:val="auto"/>
                <w:sz w:val="24"/>
                <w:highlight w:val="none"/>
              </w:rPr>
              <w:t>各方主体应按照评价要求对政府采购项目进行客观公正的评价，评价结果将纳入各方主体信用记录，未按要求参与评价的将按照规定进行处理。</w:t>
            </w:r>
          </w:p>
          <w:p w14:paraId="51ABA200">
            <w:pPr>
              <w:snapToGrid w:val="0"/>
              <w:jc w:val="right"/>
              <w:rPr>
                <w:rFonts w:ascii="宋体" w:hAnsi="宋体" w:eastAsia="宋体"/>
                <w:bCs/>
                <w:color w:val="auto"/>
                <w:sz w:val="24"/>
                <w:highlight w:val="none"/>
              </w:rPr>
            </w:pPr>
            <w:r>
              <w:rPr>
                <w:rFonts w:ascii="宋体" w:hAnsi="宋体" w:eastAsia="宋体"/>
                <w:bCs/>
                <w:color w:val="auto"/>
                <w:sz w:val="24"/>
                <w:highlight w:val="none"/>
              </w:rPr>
              <w:t>附件:1、鲁山县信用评价指标体系</w:t>
            </w:r>
          </w:p>
          <w:p w14:paraId="1131B07C">
            <w:pPr>
              <w:snapToGrid w:val="0"/>
              <w:jc w:val="right"/>
              <w:rPr>
                <w:rFonts w:ascii="宋体" w:hAnsi="宋体" w:eastAsia="宋体"/>
                <w:bCs/>
                <w:color w:val="auto"/>
                <w:sz w:val="24"/>
                <w:highlight w:val="none"/>
              </w:rPr>
            </w:pPr>
            <w:r>
              <w:rPr>
                <w:rFonts w:ascii="宋体" w:hAnsi="宋体" w:eastAsia="宋体"/>
                <w:bCs/>
                <w:color w:val="auto"/>
                <w:sz w:val="24"/>
                <w:highlight w:val="none"/>
              </w:rPr>
              <w:t>2、操作手册</w:t>
            </w:r>
          </w:p>
          <w:p w14:paraId="51B709A9">
            <w:pPr>
              <w:snapToGrid w:val="0"/>
              <w:ind w:firstLine="4320" w:firstLineChars="1800"/>
              <w:rPr>
                <w:rFonts w:ascii="宋体" w:hAnsi="宋体" w:eastAsia="宋体"/>
                <w:bCs/>
                <w:color w:val="auto"/>
                <w:sz w:val="24"/>
                <w:highlight w:val="none"/>
              </w:rPr>
            </w:pPr>
            <w:r>
              <w:rPr>
                <w:rFonts w:ascii="宋体" w:hAnsi="宋体" w:eastAsia="宋体"/>
                <w:bCs/>
                <w:color w:val="auto"/>
                <w:sz w:val="24"/>
                <w:highlight w:val="none"/>
              </w:rPr>
              <w:t>2023年3月29日</w:t>
            </w:r>
          </w:p>
        </w:tc>
      </w:tr>
      <w:tr w14:paraId="20F3FFEC">
        <w:tblPrEx>
          <w:tblCellMar>
            <w:top w:w="0" w:type="dxa"/>
            <w:left w:w="108" w:type="dxa"/>
            <w:bottom w:w="0" w:type="dxa"/>
            <w:right w:w="108" w:type="dxa"/>
          </w:tblCellMar>
        </w:tblPrEx>
        <w:trPr>
          <w:trHeight w:val="309"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F0DF431">
            <w:pPr>
              <w:spacing w:line="360" w:lineRule="auto"/>
              <w:jc w:val="left"/>
              <w:rPr>
                <w:rFonts w:ascii="宋体" w:hAnsi="宋体" w:eastAsia="宋体"/>
                <w:color w:val="auto"/>
                <w:kern w:val="0"/>
                <w:sz w:val="24"/>
                <w:szCs w:val="20"/>
                <w:highlight w:val="none"/>
              </w:rPr>
            </w:pPr>
            <w:r>
              <w:rPr>
                <w:rFonts w:ascii="宋体" w:hAnsi="宋体" w:eastAsia="宋体"/>
                <w:color w:val="auto"/>
                <w:kern w:val="0"/>
                <w:sz w:val="24"/>
                <w:szCs w:val="20"/>
                <w:highlight w:val="none"/>
              </w:rPr>
              <w:t>36.</w:t>
            </w:r>
          </w:p>
        </w:tc>
        <w:tc>
          <w:tcPr>
            <w:tcW w:w="8154" w:type="dxa"/>
            <w:gridSpan w:val="2"/>
            <w:tcBorders>
              <w:top w:val="single" w:color="auto" w:sz="4" w:space="0"/>
              <w:left w:val="single" w:color="auto" w:sz="4" w:space="0"/>
              <w:bottom w:val="single" w:color="auto" w:sz="4" w:space="0"/>
              <w:right w:val="single" w:color="auto" w:sz="4" w:space="0"/>
            </w:tcBorders>
            <w:vAlign w:val="center"/>
          </w:tcPr>
          <w:p w14:paraId="1B7C5A16">
            <w:pPr>
              <w:snapToGrid w:val="0"/>
              <w:ind w:firstLine="120" w:firstLineChars="50"/>
              <w:rPr>
                <w:rFonts w:hAnsi="宋体" w:eastAsia="宋体"/>
                <w:color w:val="auto"/>
                <w:sz w:val="24"/>
                <w:highlight w:val="none"/>
              </w:rPr>
            </w:pPr>
            <w:r>
              <w:rPr>
                <w:rFonts w:hAnsi="宋体" w:eastAsia="宋体"/>
                <w:color w:val="auto"/>
                <w:sz w:val="24"/>
                <w:highlight w:val="none"/>
              </w:rPr>
              <w:t>投标人</w:t>
            </w:r>
            <w:r>
              <w:rPr>
                <w:rFonts w:ascii="宋体" w:hAnsi="宋体" w:eastAsia="宋体"/>
                <w:color w:val="auto"/>
                <w:sz w:val="24"/>
                <w:highlight w:val="none"/>
              </w:rPr>
              <w:t>须知前后不一致处，以本附表为准</w:t>
            </w:r>
          </w:p>
        </w:tc>
      </w:tr>
    </w:tbl>
    <w:p w14:paraId="1418E1F4">
      <w:pPr>
        <w:pStyle w:val="21"/>
        <w:spacing w:before="0" w:after="0" w:line="24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shd w:val="clear" w:color="auto" w:fill="FFFFFF"/>
        </w:rPr>
        <w:t>供应商须知正文</w:t>
      </w:r>
    </w:p>
    <w:p w14:paraId="443D1254">
      <w:pPr>
        <w:tabs>
          <w:tab w:val="left" w:pos="0"/>
        </w:tabs>
        <w:spacing w:line="360" w:lineRule="auto"/>
        <w:ind w:firstLine="463" w:firstLineChars="192"/>
        <w:rPr>
          <w:rFonts w:hint="eastAsia" w:ascii="宋体" w:hAnsi="宋体"/>
          <w:b/>
          <w:bCs/>
          <w:color w:val="auto"/>
          <w:sz w:val="24"/>
          <w:highlight w:val="none"/>
        </w:rPr>
      </w:pPr>
      <w:bookmarkStart w:id="34" w:name="_Toc27428604"/>
      <w:bookmarkStart w:id="35" w:name="_Toc7145"/>
      <w:bookmarkStart w:id="36" w:name="_Toc43823016"/>
      <w:bookmarkStart w:id="37" w:name="_Toc43915708"/>
      <w:r>
        <w:rPr>
          <w:rFonts w:hint="eastAsia" w:ascii="宋体" w:hAnsi="宋体"/>
          <w:b/>
          <w:bCs/>
          <w:color w:val="auto"/>
          <w:sz w:val="24"/>
          <w:highlight w:val="none"/>
        </w:rPr>
        <w:t>1．总则</w:t>
      </w:r>
      <w:bookmarkEnd w:id="34"/>
      <w:bookmarkEnd w:id="35"/>
      <w:bookmarkEnd w:id="36"/>
      <w:bookmarkEnd w:id="37"/>
    </w:p>
    <w:p w14:paraId="2725A351">
      <w:pPr>
        <w:tabs>
          <w:tab w:val="left" w:pos="0"/>
        </w:tabs>
        <w:spacing w:line="360" w:lineRule="auto"/>
        <w:ind w:firstLine="460" w:firstLineChars="192"/>
        <w:rPr>
          <w:rFonts w:hint="eastAsia" w:ascii="宋体" w:hAnsi="宋体"/>
          <w:color w:val="auto"/>
          <w:sz w:val="24"/>
          <w:highlight w:val="none"/>
        </w:rPr>
      </w:pPr>
      <w:bookmarkStart w:id="38" w:name="_Toc485232599"/>
      <w:bookmarkStart w:id="39" w:name="_Toc27428605"/>
      <w:bookmarkStart w:id="40" w:name="_Toc43823017"/>
      <w:bookmarkStart w:id="41" w:name="_Toc486261768"/>
      <w:bookmarkStart w:id="42" w:name="_Toc152042306"/>
      <w:bookmarkStart w:id="43" w:name="_Toc179632547"/>
      <w:bookmarkStart w:id="44" w:name="_Toc43915709"/>
      <w:bookmarkStart w:id="45" w:name="_Toc144974498"/>
      <w:bookmarkStart w:id="46" w:name="_Toc152045530"/>
      <w:r>
        <w:rPr>
          <w:rFonts w:hint="eastAsia" w:ascii="宋体" w:hAnsi="宋体"/>
          <w:color w:val="auto"/>
          <w:sz w:val="24"/>
          <w:highlight w:val="none"/>
        </w:rPr>
        <w:t>1.1项目概况</w:t>
      </w:r>
      <w:bookmarkEnd w:id="38"/>
      <w:bookmarkEnd w:id="39"/>
      <w:bookmarkEnd w:id="40"/>
      <w:bookmarkEnd w:id="41"/>
      <w:bookmarkEnd w:id="42"/>
      <w:bookmarkEnd w:id="43"/>
      <w:bookmarkEnd w:id="44"/>
      <w:bookmarkEnd w:id="45"/>
      <w:bookmarkEnd w:id="46"/>
    </w:p>
    <w:p w14:paraId="652965A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1.1.1根据《中华人民共和国政府采购法》、《中华人民共和国政府采购法实施条例》、《政府采购竞争性磋商采购方式管理暂行办法》等有关法律、法规和规章的规定，本项目已具备磋商条件，现对本项目进行磋商采购。</w:t>
      </w:r>
    </w:p>
    <w:p w14:paraId="40DC7F7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1.1.2本项目采购人：见供应商须知前附表。</w:t>
      </w:r>
    </w:p>
    <w:p w14:paraId="4FDB00D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1.1.3本项目采购代理机构：见供应商须知前附表。</w:t>
      </w:r>
    </w:p>
    <w:p w14:paraId="32A801D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1.1.4本采购项目名称：见供应商须知前附表。</w:t>
      </w:r>
    </w:p>
    <w:p w14:paraId="44E55C0D">
      <w:pPr>
        <w:tabs>
          <w:tab w:val="left" w:pos="0"/>
        </w:tabs>
        <w:spacing w:line="360" w:lineRule="auto"/>
        <w:ind w:firstLine="460" w:firstLineChars="192"/>
        <w:rPr>
          <w:rFonts w:hint="eastAsia" w:ascii="宋体" w:hAnsi="宋体"/>
          <w:color w:val="auto"/>
          <w:sz w:val="24"/>
          <w:highlight w:val="none"/>
        </w:rPr>
      </w:pPr>
      <w:bookmarkStart w:id="47" w:name="_Toc152042307"/>
      <w:bookmarkStart w:id="48" w:name="_Toc43823018"/>
      <w:bookmarkStart w:id="49" w:name="_Toc144974499"/>
      <w:bookmarkStart w:id="50" w:name="_Toc485232600"/>
      <w:bookmarkStart w:id="51" w:name="_Toc152045531"/>
      <w:bookmarkStart w:id="52" w:name="_Toc486261769"/>
      <w:bookmarkStart w:id="53" w:name="_Toc27428606"/>
      <w:bookmarkStart w:id="54" w:name="_Toc179632548"/>
      <w:bookmarkStart w:id="55" w:name="_Toc43915710"/>
      <w:r>
        <w:rPr>
          <w:rFonts w:hint="eastAsia" w:ascii="宋体" w:hAnsi="宋体"/>
          <w:color w:val="auto"/>
          <w:sz w:val="24"/>
          <w:highlight w:val="none"/>
        </w:rPr>
        <w:t>1.2资金来源和落实情况</w:t>
      </w:r>
      <w:bookmarkEnd w:id="47"/>
      <w:bookmarkEnd w:id="48"/>
      <w:bookmarkEnd w:id="49"/>
      <w:bookmarkEnd w:id="50"/>
      <w:bookmarkEnd w:id="51"/>
      <w:bookmarkEnd w:id="52"/>
      <w:bookmarkEnd w:id="53"/>
      <w:bookmarkEnd w:id="54"/>
      <w:bookmarkEnd w:id="55"/>
    </w:p>
    <w:p w14:paraId="7B47192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1.2.1本采购项目的资金来源：见供应商须知前附表。</w:t>
      </w:r>
    </w:p>
    <w:p w14:paraId="124DE93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1.2.2本采购项目的资金落实情况：见供应商须知前附表。</w:t>
      </w:r>
    </w:p>
    <w:p w14:paraId="6B672302">
      <w:pPr>
        <w:tabs>
          <w:tab w:val="left" w:pos="0"/>
        </w:tabs>
        <w:spacing w:line="360" w:lineRule="auto"/>
        <w:ind w:firstLine="460" w:firstLineChars="192"/>
        <w:rPr>
          <w:rFonts w:hint="eastAsia" w:ascii="宋体" w:hAnsi="宋体"/>
          <w:color w:val="auto"/>
          <w:sz w:val="24"/>
          <w:highlight w:val="none"/>
        </w:rPr>
      </w:pPr>
      <w:bookmarkStart w:id="56" w:name="_Toc144974500"/>
      <w:bookmarkStart w:id="57" w:name="_Toc179632549"/>
      <w:bookmarkStart w:id="58" w:name="_Toc43915711"/>
      <w:bookmarkStart w:id="59" w:name="_Toc43823019"/>
      <w:bookmarkStart w:id="60" w:name="_Toc485232601"/>
      <w:bookmarkStart w:id="61" w:name="_Toc486261770"/>
      <w:bookmarkStart w:id="62" w:name="_Toc27428607"/>
      <w:bookmarkStart w:id="63" w:name="_Toc152042308"/>
      <w:bookmarkStart w:id="64" w:name="_Toc152045532"/>
      <w:r>
        <w:rPr>
          <w:rFonts w:hint="eastAsia" w:ascii="宋体" w:hAnsi="宋体"/>
          <w:color w:val="auto"/>
          <w:sz w:val="24"/>
          <w:highlight w:val="none"/>
        </w:rPr>
        <w:t>1.3采购范围、服务期限和质量要求</w:t>
      </w:r>
      <w:bookmarkEnd w:id="56"/>
      <w:bookmarkEnd w:id="57"/>
      <w:bookmarkEnd w:id="58"/>
      <w:bookmarkEnd w:id="59"/>
      <w:bookmarkEnd w:id="60"/>
      <w:bookmarkEnd w:id="61"/>
      <w:bookmarkEnd w:id="62"/>
      <w:bookmarkEnd w:id="63"/>
      <w:bookmarkEnd w:id="64"/>
    </w:p>
    <w:p w14:paraId="1D190C3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1.3.1本次采购内容：见供应商须知前附表。</w:t>
      </w:r>
    </w:p>
    <w:p w14:paraId="36345F78">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1.3.2本项目的服务期限：见供应商须知前附表。</w:t>
      </w:r>
    </w:p>
    <w:p w14:paraId="0699D6D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1.3.3本项目的质量要求：见供应商须知前附表。</w:t>
      </w:r>
    </w:p>
    <w:p w14:paraId="51F13B04">
      <w:pPr>
        <w:tabs>
          <w:tab w:val="left" w:pos="0"/>
        </w:tabs>
        <w:spacing w:line="360" w:lineRule="auto"/>
        <w:ind w:firstLine="460" w:firstLineChars="192"/>
        <w:rPr>
          <w:rFonts w:hint="eastAsia" w:ascii="宋体" w:hAnsi="宋体"/>
          <w:color w:val="auto"/>
          <w:sz w:val="24"/>
          <w:highlight w:val="none"/>
        </w:rPr>
      </w:pPr>
      <w:bookmarkStart w:id="65" w:name="_Toc152042310"/>
      <w:bookmarkStart w:id="66" w:name="_Toc485232602"/>
      <w:bookmarkStart w:id="67" w:name="_Toc43915712"/>
      <w:bookmarkStart w:id="68" w:name="_Toc27428608"/>
      <w:bookmarkStart w:id="69" w:name="_Toc144974502"/>
      <w:bookmarkStart w:id="70" w:name="_Toc43823020"/>
      <w:bookmarkStart w:id="71" w:name="_Toc179632551"/>
      <w:bookmarkStart w:id="72" w:name="_Toc152045534"/>
      <w:bookmarkStart w:id="73" w:name="_Toc486261771"/>
      <w:r>
        <w:rPr>
          <w:rFonts w:hint="eastAsia" w:ascii="宋体" w:hAnsi="宋体"/>
          <w:color w:val="auto"/>
          <w:sz w:val="24"/>
          <w:highlight w:val="none"/>
        </w:rPr>
        <w:t>1.4供应商资格要求</w:t>
      </w:r>
      <w:bookmarkEnd w:id="65"/>
      <w:bookmarkEnd w:id="66"/>
      <w:bookmarkEnd w:id="67"/>
      <w:bookmarkEnd w:id="68"/>
      <w:bookmarkEnd w:id="69"/>
      <w:bookmarkEnd w:id="70"/>
      <w:bookmarkEnd w:id="71"/>
      <w:bookmarkEnd w:id="72"/>
      <w:bookmarkEnd w:id="73"/>
    </w:p>
    <w:p w14:paraId="12FC5F7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1.4.1供应商应具备承担本项目的资质条件、能力和信誉见供应商须知前附表第11项。</w:t>
      </w:r>
    </w:p>
    <w:p w14:paraId="702EBC5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1.4.2 供应商不得存在下列情形之一：</w:t>
      </w:r>
    </w:p>
    <w:p w14:paraId="3C46A3A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 xml:space="preserve">(l）为采购人不具有独立法人资格的附属机构（单位）； </w:t>
      </w:r>
    </w:p>
    <w:p w14:paraId="21612F6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(2）为本项目提供招标代理服务的；</w:t>
      </w:r>
    </w:p>
    <w:p w14:paraId="2BEF442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(3）与本项目的招标代理机构同为一个法定代表人的；</w:t>
      </w:r>
    </w:p>
    <w:p w14:paraId="627F01C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(4）与本项目招标代理机构相互控股或参股的；</w:t>
      </w:r>
    </w:p>
    <w:p w14:paraId="28392CF3">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 xml:space="preserve">(5）与本项目招标代理机构相互任职或工作的； </w:t>
      </w:r>
    </w:p>
    <w:p w14:paraId="5987941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(6）被责令停业的；</w:t>
      </w:r>
    </w:p>
    <w:p w14:paraId="14BF812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(7）被暂停或取消投标资格的；</w:t>
      </w:r>
    </w:p>
    <w:p w14:paraId="2D4D1EA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(8）财产被接管或冻结的；</w:t>
      </w:r>
    </w:p>
    <w:p w14:paraId="1F00EB8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1.4.3参与同一个标段（包）的投标人存在下列情形之一的，其投标（响应）文件无效：</w:t>
      </w:r>
    </w:p>
    <w:p w14:paraId="2389866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（1）不同投标人的电子投标（响应）文件上传计算机的网卡MAC地址、CPU序列号和硬盘序列号等硬件信息均相同的；</w:t>
      </w:r>
    </w:p>
    <w:p w14:paraId="426DF84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(2)不同投标人的投标（响应）文件由同一设备编制、打印加密上传；</w:t>
      </w:r>
    </w:p>
    <w:p w14:paraId="607FFC7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(3)不同投标人的投标（响应）文件由同一设备打印、复印；</w:t>
      </w:r>
    </w:p>
    <w:p w14:paraId="431F773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(4)不同投标人的投标（响应）文件由同一人送达或分发，或者不同投标人联系人为同一人或不同联系人的联系电话一致的；</w:t>
      </w:r>
    </w:p>
    <w:p w14:paraId="2B1BA15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(5)不同投标人的投标（响应）文件的内容存在两处以上细节错误一致的；</w:t>
      </w:r>
    </w:p>
    <w:p w14:paraId="65F6CD6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(6)不同投标人的法定代表人、委托代理人、项目经理、项目负责人等由同一单位缴纳社会保险或者领取报酬的；</w:t>
      </w:r>
    </w:p>
    <w:p w14:paraId="419BAE1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(7)不同投标人的投标（响应）文件中法定代表人或者负责人签字出自同一人之手；</w:t>
      </w:r>
    </w:p>
    <w:p w14:paraId="44BA7E4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(8)其他涉嫌串标的情形。</w:t>
      </w:r>
    </w:p>
    <w:p w14:paraId="0C2A646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1.4.4单位负责人为同一人或者存在控股、管理关系的不同单位，不得同时参加本招标项目投标。</w:t>
      </w:r>
    </w:p>
    <w:p w14:paraId="4D175D78">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1.5费用承担</w:t>
      </w:r>
    </w:p>
    <w:p w14:paraId="74FBED7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供应商准备和参加磋商活动发生的费用自理。</w:t>
      </w:r>
    </w:p>
    <w:p w14:paraId="1AE265D7">
      <w:pPr>
        <w:tabs>
          <w:tab w:val="left" w:pos="0"/>
        </w:tabs>
        <w:spacing w:line="360" w:lineRule="auto"/>
        <w:ind w:firstLine="460" w:firstLineChars="192"/>
        <w:rPr>
          <w:rFonts w:hint="eastAsia" w:ascii="宋体" w:hAnsi="宋体"/>
          <w:color w:val="auto"/>
          <w:sz w:val="24"/>
          <w:highlight w:val="none"/>
        </w:rPr>
      </w:pPr>
      <w:bookmarkStart w:id="74" w:name="_Toc152045536"/>
      <w:bookmarkStart w:id="75" w:name="_Toc27428610"/>
      <w:bookmarkStart w:id="76" w:name="_Toc486261773"/>
      <w:bookmarkStart w:id="77" w:name="_Toc43823022"/>
      <w:bookmarkStart w:id="78" w:name="_Toc144974504"/>
      <w:bookmarkStart w:id="79" w:name="_Toc179632553"/>
      <w:bookmarkStart w:id="80" w:name="_Toc152042312"/>
      <w:bookmarkStart w:id="81" w:name="_Toc43915714"/>
      <w:bookmarkStart w:id="82" w:name="_Toc485232604"/>
      <w:r>
        <w:rPr>
          <w:rFonts w:hint="eastAsia" w:ascii="宋体" w:hAnsi="宋体"/>
          <w:color w:val="auto"/>
          <w:sz w:val="24"/>
          <w:highlight w:val="none"/>
        </w:rPr>
        <w:t>1.6保密</w:t>
      </w:r>
      <w:bookmarkEnd w:id="74"/>
      <w:bookmarkEnd w:id="75"/>
      <w:bookmarkEnd w:id="76"/>
      <w:bookmarkEnd w:id="77"/>
      <w:bookmarkEnd w:id="78"/>
      <w:bookmarkEnd w:id="79"/>
      <w:bookmarkEnd w:id="80"/>
      <w:bookmarkEnd w:id="81"/>
      <w:bookmarkEnd w:id="82"/>
    </w:p>
    <w:p w14:paraId="3BD50D5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参与磋商活动的各方应对竞争性磋商文件和竞争性磋商响应文件中的商业和技术等秘密保密，违者应对由此造成的后果承担法律责任。</w:t>
      </w:r>
    </w:p>
    <w:p w14:paraId="26070325">
      <w:pPr>
        <w:tabs>
          <w:tab w:val="left" w:pos="0"/>
        </w:tabs>
        <w:spacing w:line="360" w:lineRule="auto"/>
        <w:ind w:firstLine="460" w:firstLineChars="192"/>
        <w:rPr>
          <w:rFonts w:hint="eastAsia" w:ascii="宋体" w:hAnsi="宋体"/>
          <w:color w:val="auto"/>
          <w:sz w:val="24"/>
          <w:highlight w:val="none"/>
        </w:rPr>
      </w:pPr>
      <w:bookmarkStart w:id="83" w:name="_Toc144974505"/>
      <w:bookmarkStart w:id="84" w:name="_Toc485232605"/>
      <w:bookmarkStart w:id="85" w:name="_Toc486261774"/>
      <w:bookmarkStart w:id="86" w:name="_Toc152045537"/>
      <w:bookmarkStart w:id="87" w:name="_Toc43915715"/>
      <w:bookmarkStart w:id="88" w:name="_Toc27428611"/>
      <w:bookmarkStart w:id="89" w:name="_Toc179632554"/>
      <w:bookmarkStart w:id="90" w:name="_Toc152042313"/>
      <w:bookmarkStart w:id="91" w:name="_Toc43823023"/>
      <w:r>
        <w:rPr>
          <w:rFonts w:hint="eastAsia" w:ascii="宋体" w:hAnsi="宋体"/>
          <w:color w:val="auto"/>
          <w:sz w:val="24"/>
          <w:highlight w:val="none"/>
        </w:rPr>
        <w:t>1.7语言</w:t>
      </w:r>
      <w:bookmarkEnd w:id="83"/>
      <w:r>
        <w:rPr>
          <w:rFonts w:hint="eastAsia" w:ascii="宋体" w:hAnsi="宋体"/>
          <w:color w:val="auto"/>
          <w:sz w:val="24"/>
          <w:highlight w:val="none"/>
        </w:rPr>
        <w:t>文字</w:t>
      </w:r>
      <w:bookmarkEnd w:id="84"/>
      <w:bookmarkEnd w:id="85"/>
      <w:bookmarkEnd w:id="86"/>
      <w:bookmarkEnd w:id="87"/>
      <w:bookmarkEnd w:id="88"/>
      <w:bookmarkEnd w:id="89"/>
      <w:bookmarkEnd w:id="90"/>
      <w:bookmarkEnd w:id="91"/>
    </w:p>
    <w:p w14:paraId="4987697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除专用术语外，与磋商有关的语言均使用中文。必要时专用术语应附有中文注释。</w:t>
      </w:r>
    </w:p>
    <w:p w14:paraId="5B593E10">
      <w:pPr>
        <w:tabs>
          <w:tab w:val="left" w:pos="0"/>
        </w:tabs>
        <w:spacing w:line="360" w:lineRule="auto"/>
        <w:ind w:firstLine="460" w:firstLineChars="192"/>
        <w:rPr>
          <w:rFonts w:hint="eastAsia" w:ascii="宋体" w:hAnsi="宋体"/>
          <w:color w:val="auto"/>
          <w:sz w:val="24"/>
          <w:highlight w:val="none"/>
        </w:rPr>
      </w:pPr>
      <w:bookmarkStart w:id="92" w:name="_Toc152045538"/>
      <w:bookmarkStart w:id="93" w:name="_Toc179632555"/>
      <w:bookmarkStart w:id="94" w:name="_Toc43823024"/>
      <w:bookmarkStart w:id="95" w:name="_Toc485232606"/>
      <w:bookmarkStart w:id="96" w:name="_Toc152042314"/>
      <w:bookmarkStart w:id="97" w:name="_Toc43915716"/>
      <w:bookmarkStart w:id="98" w:name="_Toc27428612"/>
      <w:bookmarkStart w:id="99" w:name="_Toc144974506"/>
      <w:bookmarkStart w:id="100" w:name="_Toc486261775"/>
      <w:r>
        <w:rPr>
          <w:rFonts w:hint="eastAsia" w:ascii="宋体" w:hAnsi="宋体"/>
          <w:color w:val="auto"/>
          <w:sz w:val="24"/>
          <w:highlight w:val="none"/>
        </w:rPr>
        <w:t>1.8计量单位</w:t>
      </w:r>
      <w:bookmarkEnd w:id="92"/>
      <w:bookmarkEnd w:id="93"/>
      <w:bookmarkEnd w:id="94"/>
      <w:bookmarkEnd w:id="95"/>
      <w:bookmarkEnd w:id="96"/>
      <w:bookmarkEnd w:id="97"/>
      <w:bookmarkEnd w:id="98"/>
      <w:bookmarkEnd w:id="99"/>
      <w:bookmarkEnd w:id="100"/>
    </w:p>
    <w:p w14:paraId="4FF0C97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所有计量均采用中华人民共和国法定计量单位。</w:t>
      </w:r>
    </w:p>
    <w:p w14:paraId="7A3C1D58">
      <w:pPr>
        <w:tabs>
          <w:tab w:val="left" w:pos="0"/>
        </w:tabs>
        <w:spacing w:line="360" w:lineRule="auto"/>
        <w:ind w:firstLine="460" w:firstLineChars="192"/>
        <w:rPr>
          <w:rFonts w:hint="eastAsia" w:ascii="宋体" w:hAnsi="宋体"/>
          <w:color w:val="auto"/>
          <w:sz w:val="24"/>
          <w:highlight w:val="none"/>
        </w:rPr>
      </w:pPr>
      <w:bookmarkStart w:id="101" w:name="_Toc152045539"/>
      <w:bookmarkStart w:id="102" w:name="_Toc43915717"/>
      <w:bookmarkStart w:id="103" w:name="_Toc486261776"/>
      <w:bookmarkStart w:id="104" w:name="_Toc485232607"/>
      <w:bookmarkStart w:id="105" w:name="_Toc27428613"/>
      <w:bookmarkStart w:id="106" w:name="_Toc144974507"/>
      <w:bookmarkStart w:id="107" w:name="_Toc152042315"/>
      <w:bookmarkStart w:id="108" w:name="_Toc179632556"/>
      <w:bookmarkStart w:id="109" w:name="_Toc43823025"/>
      <w:r>
        <w:rPr>
          <w:rFonts w:hint="eastAsia" w:ascii="宋体" w:hAnsi="宋体"/>
          <w:color w:val="auto"/>
          <w:sz w:val="24"/>
          <w:highlight w:val="none"/>
        </w:rPr>
        <w:t>1.9踏勘现场</w:t>
      </w:r>
      <w:bookmarkEnd w:id="101"/>
      <w:bookmarkEnd w:id="102"/>
      <w:bookmarkEnd w:id="103"/>
      <w:bookmarkEnd w:id="104"/>
      <w:bookmarkEnd w:id="105"/>
      <w:bookmarkEnd w:id="106"/>
      <w:bookmarkEnd w:id="107"/>
      <w:bookmarkEnd w:id="108"/>
      <w:bookmarkEnd w:id="109"/>
    </w:p>
    <w:p w14:paraId="438F6A3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见供应商须知前附表。</w:t>
      </w:r>
    </w:p>
    <w:p w14:paraId="07BD5C9F">
      <w:pPr>
        <w:tabs>
          <w:tab w:val="left" w:pos="0"/>
        </w:tabs>
        <w:spacing w:line="360" w:lineRule="auto"/>
        <w:ind w:firstLine="460" w:firstLineChars="192"/>
        <w:rPr>
          <w:rFonts w:hint="eastAsia" w:ascii="宋体" w:hAnsi="宋体"/>
          <w:color w:val="auto"/>
          <w:sz w:val="24"/>
          <w:highlight w:val="none"/>
        </w:rPr>
      </w:pPr>
      <w:bookmarkStart w:id="110" w:name="_Toc485232608"/>
      <w:bookmarkStart w:id="111" w:name="_Toc43915718"/>
      <w:bookmarkStart w:id="112" w:name="_Toc486261777"/>
      <w:bookmarkStart w:id="113" w:name="_Toc27428614"/>
      <w:bookmarkStart w:id="114" w:name="_Toc43823026"/>
      <w:r>
        <w:rPr>
          <w:rFonts w:hint="eastAsia" w:ascii="宋体" w:hAnsi="宋体"/>
          <w:color w:val="auto"/>
          <w:sz w:val="24"/>
          <w:highlight w:val="none"/>
        </w:rPr>
        <w:t>1.10磋商预备会</w:t>
      </w:r>
      <w:bookmarkEnd w:id="110"/>
      <w:bookmarkEnd w:id="111"/>
      <w:bookmarkEnd w:id="112"/>
      <w:bookmarkEnd w:id="113"/>
      <w:bookmarkEnd w:id="114"/>
    </w:p>
    <w:p w14:paraId="14882EC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见供应商须知前附表。</w:t>
      </w:r>
    </w:p>
    <w:p w14:paraId="14F57945">
      <w:pPr>
        <w:tabs>
          <w:tab w:val="left" w:pos="0"/>
        </w:tabs>
        <w:spacing w:line="360" w:lineRule="auto"/>
        <w:ind w:firstLine="460" w:firstLineChars="192"/>
        <w:rPr>
          <w:rFonts w:hint="eastAsia" w:ascii="宋体" w:hAnsi="宋体"/>
          <w:color w:val="auto"/>
          <w:sz w:val="24"/>
          <w:highlight w:val="none"/>
        </w:rPr>
      </w:pPr>
      <w:bookmarkStart w:id="115" w:name="_Toc43823027"/>
      <w:bookmarkStart w:id="116" w:name="_Toc43915719"/>
      <w:bookmarkStart w:id="117" w:name="_Toc486261778"/>
      <w:bookmarkStart w:id="118" w:name="_Toc485232609"/>
      <w:bookmarkStart w:id="119" w:name="_Toc27428615"/>
      <w:r>
        <w:rPr>
          <w:rFonts w:hint="eastAsia" w:ascii="宋体" w:hAnsi="宋体"/>
          <w:color w:val="auto"/>
          <w:sz w:val="24"/>
          <w:highlight w:val="none"/>
        </w:rPr>
        <w:t>1.11分包</w:t>
      </w:r>
      <w:bookmarkEnd w:id="115"/>
      <w:bookmarkEnd w:id="116"/>
      <w:bookmarkEnd w:id="117"/>
      <w:bookmarkEnd w:id="118"/>
      <w:bookmarkEnd w:id="119"/>
    </w:p>
    <w:p w14:paraId="175459E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供应商拟在成交后将成交项目的部分非主体、非关键性工作进行分包的，应符合供应商须知前附表规定的分包内容、分包金额和接受分包的第三人资质要求等限制性条件。</w:t>
      </w:r>
    </w:p>
    <w:p w14:paraId="333DD428">
      <w:pPr>
        <w:tabs>
          <w:tab w:val="left" w:pos="0"/>
        </w:tabs>
        <w:spacing w:line="360" w:lineRule="auto"/>
        <w:ind w:firstLine="460" w:firstLineChars="192"/>
        <w:rPr>
          <w:rFonts w:hint="eastAsia" w:ascii="宋体" w:hAnsi="宋体"/>
          <w:color w:val="auto"/>
          <w:sz w:val="24"/>
          <w:highlight w:val="none"/>
        </w:rPr>
      </w:pPr>
      <w:bookmarkStart w:id="120" w:name="_Toc43915720"/>
      <w:bookmarkStart w:id="121" w:name="_Toc179632559"/>
      <w:bookmarkStart w:id="122" w:name="_Toc43823028"/>
      <w:bookmarkStart w:id="123" w:name="_Toc485232610"/>
      <w:bookmarkStart w:id="124" w:name="_Toc27428616"/>
      <w:bookmarkStart w:id="125" w:name="_Toc486261779"/>
      <w:r>
        <w:rPr>
          <w:rFonts w:hint="eastAsia" w:ascii="宋体" w:hAnsi="宋体"/>
          <w:color w:val="auto"/>
          <w:sz w:val="24"/>
          <w:highlight w:val="none"/>
        </w:rPr>
        <w:t>1.12偏离</w:t>
      </w:r>
      <w:bookmarkEnd w:id="120"/>
      <w:bookmarkEnd w:id="121"/>
      <w:bookmarkEnd w:id="122"/>
      <w:bookmarkEnd w:id="123"/>
      <w:bookmarkEnd w:id="124"/>
      <w:bookmarkEnd w:id="125"/>
    </w:p>
    <w:p w14:paraId="25E0EF1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供应商须知前附表允许竞争性磋商响应文件偏离竞争性磋商文件某些要求的，偏离应当符合竞争性磋商文件规定的偏离范围和幅度。</w:t>
      </w:r>
    </w:p>
    <w:p w14:paraId="361EB3C5">
      <w:pPr>
        <w:tabs>
          <w:tab w:val="left" w:pos="0"/>
        </w:tabs>
        <w:spacing w:line="360" w:lineRule="auto"/>
        <w:ind w:firstLine="463" w:firstLineChars="192"/>
        <w:rPr>
          <w:rFonts w:hint="eastAsia" w:ascii="宋体" w:hAnsi="宋体"/>
          <w:b/>
          <w:bCs/>
          <w:color w:val="auto"/>
          <w:sz w:val="24"/>
          <w:highlight w:val="none"/>
        </w:rPr>
      </w:pPr>
      <w:r>
        <w:rPr>
          <w:rFonts w:hint="eastAsia" w:ascii="宋体" w:hAnsi="宋体"/>
          <w:b/>
          <w:bCs/>
          <w:color w:val="auto"/>
          <w:sz w:val="24"/>
          <w:highlight w:val="none"/>
        </w:rPr>
        <w:t>2．竞争性磋商文件</w:t>
      </w:r>
    </w:p>
    <w:p w14:paraId="5F5A1F36">
      <w:pPr>
        <w:tabs>
          <w:tab w:val="left" w:pos="0"/>
        </w:tabs>
        <w:spacing w:line="360" w:lineRule="auto"/>
        <w:ind w:firstLine="460" w:firstLineChars="192"/>
        <w:rPr>
          <w:rFonts w:hint="eastAsia" w:ascii="宋体" w:hAnsi="宋体"/>
          <w:color w:val="auto"/>
          <w:sz w:val="24"/>
          <w:highlight w:val="none"/>
        </w:rPr>
      </w:pPr>
      <w:bookmarkStart w:id="126" w:name="_Toc179632561"/>
      <w:bookmarkStart w:id="127" w:name="_Toc152042319"/>
      <w:bookmarkStart w:id="128" w:name="_Toc43915722"/>
      <w:bookmarkStart w:id="129" w:name="_Toc43823030"/>
      <w:bookmarkStart w:id="130" w:name="_Toc486261781"/>
      <w:bookmarkStart w:id="131" w:name="_Toc27428618"/>
      <w:bookmarkStart w:id="132" w:name="_Toc485232612"/>
      <w:bookmarkStart w:id="133" w:name="_Toc152045543"/>
      <w:bookmarkStart w:id="134" w:name="_Toc144974511"/>
      <w:r>
        <w:rPr>
          <w:rFonts w:hint="eastAsia" w:ascii="宋体" w:hAnsi="宋体"/>
          <w:color w:val="auto"/>
          <w:sz w:val="24"/>
          <w:highlight w:val="none"/>
        </w:rPr>
        <w:t>2.1竞争性磋商文件的组成</w:t>
      </w:r>
      <w:bookmarkEnd w:id="126"/>
      <w:bookmarkEnd w:id="127"/>
      <w:bookmarkEnd w:id="128"/>
      <w:bookmarkEnd w:id="129"/>
      <w:bookmarkEnd w:id="130"/>
      <w:bookmarkEnd w:id="131"/>
      <w:bookmarkEnd w:id="132"/>
      <w:bookmarkEnd w:id="133"/>
      <w:bookmarkEnd w:id="134"/>
    </w:p>
    <w:p w14:paraId="2789EB4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本竞争性磋商文件包括：</w:t>
      </w:r>
    </w:p>
    <w:p w14:paraId="6F42AAD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（1）竞争性磋商公告；</w:t>
      </w:r>
    </w:p>
    <w:p w14:paraId="67BDF32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（2）供应商须知；</w:t>
      </w:r>
    </w:p>
    <w:p w14:paraId="707F8C5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（3）磋商办法（综合评分法）；</w:t>
      </w:r>
    </w:p>
    <w:p w14:paraId="5DF15850">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（4）合同条款及格式；</w:t>
      </w:r>
    </w:p>
    <w:p w14:paraId="0F716C8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（5）采购内容及服务要求 ；</w:t>
      </w:r>
    </w:p>
    <w:p w14:paraId="60F94188">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（6）响应文件格式；</w:t>
      </w:r>
    </w:p>
    <w:p w14:paraId="6326004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根据本章第1.10款、第2.2款和第2.3款对竞争性磋商文件所作的澄清、修改，构成竞争性磋商文件的组成部分。</w:t>
      </w:r>
    </w:p>
    <w:p w14:paraId="747BB832">
      <w:pPr>
        <w:tabs>
          <w:tab w:val="left" w:pos="0"/>
        </w:tabs>
        <w:spacing w:line="360" w:lineRule="auto"/>
        <w:ind w:firstLine="460" w:firstLineChars="192"/>
        <w:rPr>
          <w:rFonts w:hint="eastAsia" w:ascii="宋体" w:hAnsi="宋体"/>
          <w:color w:val="auto"/>
          <w:sz w:val="24"/>
          <w:highlight w:val="none"/>
        </w:rPr>
      </w:pPr>
      <w:bookmarkStart w:id="135" w:name="_Toc144974512"/>
      <w:bookmarkStart w:id="136" w:name="_Toc485232613"/>
      <w:bookmarkStart w:id="137" w:name="_Toc152042320"/>
      <w:bookmarkStart w:id="138" w:name="_Toc43823031"/>
      <w:bookmarkStart w:id="139" w:name="_Toc43915723"/>
      <w:bookmarkStart w:id="140" w:name="_Toc152045544"/>
      <w:bookmarkStart w:id="141" w:name="_Toc486261782"/>
      <w:bookmarkStart w:id="142" w:name="_Toc179632562"/>
      <w:bookmarkStart w:id="143" w:name="_Toc27428619"/>
      <w:r>
        <w:rPr>
          <w:rFonts w:hint="eastAsia" w:ascii="宋体" w:hAnsi="宋体"/>
          <w:color w:val="auto"/>
          <w:sz w:val="24"/>
          <w:highlight w:val="none"/>
        </w:rPr>
        <w:t>2.2竞争性磋商文件的澄清</w:t>
      </w:r>
      <w:bookmarkEnd w:id="135"/>
      <w:bookmarkEnd w:id="136"/>
      <w:bookmarkEnd w:id="137"/>
      <w:bookmarkEnd w:id="138"/>
      <w:bookmarkEnd w:id="139"/>
      <w:bookmarkEnd w:id="140"/>
      <w:bookmarkEnd w:id="141"/>
      <w:bookmarkEnd w:id="142"/>
      <w:bookmarkEnd w:id="143"/>
    </w:p>
    <w:p w14:paraId="09E54A3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2.2.1供应商应仔细阅读和检查竞争性磋商文件的全部内容。如发现缺页或附件不全，应及时向采购人提出，以便补齐。如有疑问，应在供应商须知前附表规定的时间前在电子交易系统中提出，要求采购人对竞争性磋商文件予以澄清。</w:t>
      </w:r>
    </w:p>
    <w:p w14:paraId="20646E8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2.2.2竞争性磋商文件的澄清将在供应商须知前附表规定的磋商截止时间5天前在电子交易系统中以澄清形式公示给所有下载竞争性磋商文件的供应商，但不指明澄清问题的来源。如果澄清发出的时间距磋商截止时间不足5天，相应延长磋商截止时间。</w:t>
      </w:r>
    </w:p>
    <w:p w14:paraId="56BCB0A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2.2.3磋商截止时间：见供应商须知前附表。</w:t>
      </w:r>
    </w:p>
    <w:p w14:paraId="69E860AF">
      <w:pPr>
        <w:tabs>
          <w:tab w:val="left" w:pos="0"/>
        </w:tabs>
        <w:spacing w:line="360" w:lineRule="auto"/>
        <w:ind w:firstLine="460" w:firstLineChars="192"/>
        <w:rPr>
          <w:rFonts w:hint="eastAsia" w:ascii="宋体" w:hAnsi="宋体"/>
          <w:color w:val="auto"/>
          <w:sz w:val="24"/>
          <w:highlight w:val="none"/>
        </w:rPr>
      </w:pPr>
      <w:bookmarkStart w:id="144" w:name="_Toc179632563"/>
      <w:bookmarkStart w:id="145" w:name="_Toc152045545"/>
      <w:bookmarkStart w:id="146" w:name="_Toc486261783"/>
      <w:bookmarkStart w:id="147" w:name="_Toc27428620"/>
      <w:bookmarkStart w:id="148" w:name="_Toc43915724"/>
      <w:bookmarkStart w:id="149" w:name="_Toc152042321"/>
      <w:bookmarkStart w:id="150" w:name="_Toc144974513"/>
      <w:bookmarkStart w:id="151" w:name="_Toc485232614"/>
      <w:bookmarkStart w:id="152" w:name="_Toc43823032"/>
      <w:r>
        <w:rPr>
          <w:rFonts w:hint="eastAsia" w:ascii="宋体" w:hAnsi="宋体"/>
          <w:color w:val="auto"/>
          <w:sz w:val="24"/>
          <w:highlight w:val="none"/>
        </w:rPr>
        <w:t>2.3竞争性磋商文件的修改</w:t>
      </w:r>
      <w:bookmarkEnd w:id="144"/>
      <w:bookmarkEnd w:id="145"/>
      <w:bookmarkEnd w:id="146"/>
      <w:bookmarkEnd w:id="147"/>
      <w:bookmarkEnd w:id="148"/>
      <w:bookmarkEnd w:id="149"/>
      <w:bookmarkEnd w:id="150"/>
      <w:bookmarkEnd w:id="151"/>
      <w:bookmarkEnd w:id="152"/>
    </w:p>
    <w:p w14:paraId="13DD760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在磋商截止时间5天前，采购人可以在电子交易系统中修改竞争性磋商文件，并公示给所有已下载竞争性磋商文件的供应商。如果修改竞争性磋商文件的时间距磋商截止时间不足5天，相应延长磋商截止时间。</w:t>
      </w:r>
    </w:p>
    <w:p w14:paraId="0E5ED898">
      <w:pPr>
        <w:tabs>
          <w:tab w:val="left" w:pos="0"/>
        </w:tabs>
        <w:spacing w:line="360" w:lineRule="auto"/>
        <w:ind w:firstLine="463" w:firstLineChars="192"/>
        <w:rPr>
          <w:rFonts w:hint="eastAsia" w:ascii="宋体" w:hAnsi="宋体"/>
          <w:b/>
          <w:bCs/>
          <w:color w:val="auto"/>
          <w:sz w:val="24"/>
          <w:highlight w:val="none"/>
        </w:rPr>
      </w:pPr>
      <w:bookmarkStart w:id="153" w:name="_Toc486261784"/>
      <w:bookmarkStart w:id="154" w:name="_Toc26413"/>
      <w:bookmarkStart w:id="155" w:name="_Toc144974514"/>
      <w:bookmarkStart w:id="156" w:name="_Toc43823033"/>
      <w:bookmarkStart w:id="157" w:name="_Toc152042322"/>
      <w:bookmarkStart w:id="158" w:name="_Toc179632564"/>
      <w:bookmarkStart w:id="159" w:name="_Toc27428621"/>
      <w:bookmarkStart w:id="160" w:name="_Toc152045546"/>
      <w:bookmarkStart w:id="161" w:name="_Toc43915725"/>
      <w:bookmarkStart w:id="162" w:name="_Toc485232615"/>
      <w:r>
        <w:rPr>
          <w:rFonts w:hint="eastAsia" w:ascii="宋体" w:hAnsi="宋体"/>
          <w:b/>
          <w:bCs/>
          <w:color w:val="auto"/>
          <w:sz w:val="24"/>
          <w:highlight w:val="none"/>
        </w:rPr>
        <w:t>3．响应文件</w:t>
      </w:r>
      <w:bookmarkEnd w:id="153"/>
      <w:bookmarkEnd w:id="154"/>
      <w:bookmarkEnd w:id="155"/>
      <w:bookmarkEnd w:id="156"/>
      <w:bookmarkEnd w:id="157"/>
      <w:bookmarkEnd w:id="158"/>
      <w:bookmarkEnd w:id="159"/>
      <w:bookmarkEnd w:id="160"/>
      <w:bookmarkEnd w:id="161"/>
      <w:bookmarkEnd w:id="162"/>
    </w:p>
    <w:p w14:paraId="652CAD13">
      <w:pPr>
        <w:tabs>
          <w:tab w:val="left" w:pos="0"/>
        </w:tabs>
        <w:spacing w:line="360" w:lineRule="auto"/>
        <w:ind w:firstLine="460" w:firstLineChars="192"/>
        <w:rPr>
          <w:rFonts w:hint="eastAsia" w:ascii="宋体" w:hAnsi="宋体"/>
          <w:color w:val="auto"/>
          <w:sz w:val="24"/>
          <w:highlight w:val="none"/>
        </w:rPr>
      </w:pPr>
      <w:bookmarkStart w:id="163" w:name="_Toc27428622"/>
      <w:bookmarkStart w:id="164" w:name="_Toc485232616"/>
      <w:bookmarkStart w:id="165" w:name="_Toc43915726"/>
      <w:bookmarkStart w:id="166" w:name="_Toc486261785"/>
      <w:bookmarkStart w:id="167" w:name="_Toc144974515"/>
      <w:bookmarkStart w:id="168" w:name="_Toc152045547"/>
      <w:bookmarkStart w:id="169" w:name="_Toc152042323"/>
      <w:bookmarkStart w:id="170" w:name="_Toc179632565"/>
      <w:bookmarkStart w:id="171" w:name="_Toc43823034"/>
      <w:r>
        <w:rPr>
          <w:rFonts w:hint="eastAsia" w:ascii="宋体" w:hAnsi="宋体"/>
          <w:color w:val="auto"/>
          <w:sz w:val="24"/>
          <w:highlight w:val="none"/>
        </w:rPr>
        <w:t>3.1响应文件的组成</w:t>
      </w:r>
      <w:bookmarkEnd w:id="163"/>
      <w:bookmarkEnd w:id="164"/>
      <w:bookmarkEnd w:id="165"/>
      <w:bookmarkEnd w:id="166"/>
      <w:bookmarkEnd w:id="167"/>
      <w:bookmarkEnd w:id="168"/>
      <w:bookmarkEnd w:id="169"/>
      <w:bookmarkEnd w:id="170"/>
      <w:bookmarkEnd w:id="171"/>
    </w:p>
    <w:p w14:paraId="507AB25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3.1.1响应文件应包括下列内容：</w:t>
      </w:r>
    </w:p>
    <w:p w14:paraId="4EED365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（1）投标函</w:t>
      </w:r>
    </w:p>
    <w:p w14:paraId="6A2C1A2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（2）投标函附录</w:t>
      </w:r>
    </w:p>
    <w:p w14:paraId="50E7FB3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（3）法定代表人身份证明及授权委托书</w:t>
      </w:r>
    </w:p>
    <w:p w14:paraId="058F597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（4）资格审查资料</w:t>
      </w:r>
    </w:p>
    <w:p w14:paraId="1EB9EFE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（5）项目服务方案</w:t>
      </w:r>
    </w:p>
    <w:p w14:paraId="5E869AC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（6）其他资料</w:t>
      </w:r>
    </w:p>
    <w:p w14:paraId="4E534536">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3.2投标报价</w:t>
      </w:r>
    </w:p>
    <w:p w14:paraId="509C392E">
      <w:pPr>
        <w:pStyle w:val="62"/>
        <w:spacing w:line="360" w:lineRule="auto"/>
        <w:ind w:firstLine="420"/>
        <w:rPr>
          <w:rFonts w:hint="eastAsia" w:ascii="宋体" w:hAnsi="宋体"/>
          <w:color w:val="auto"/>
          <w:kern w:val="2"/>
          <w:sz w:val="24"/>
          <w:szCs w:val="24"/>
          <w:highlight w:val="none"/>
        </w:rPr>
      </w:pPr>
      <w:r>
        <w:rPr>
          <w:rFonts w:hint="eastAsia" w:ascii="宋体" w:hAnsi="宋体"/>
          <w:color w:val="auto"/>
          <w:kern w:val="2"/>
          <w:sz w:val="24"/>
          <w:szCs w:val="24"/>
          <w:highlight w:val="none"/>
        </w:rPr>
        <w:t>3.2.1 响应人对该项目根据市场行情自主报价。本项目分为二次报价：第一次报价为磋商响应文件中的报价，第二次报价在磋商中填报，第二次报价（不得高于一次报价）即为最终报价，中标后不再调整。</w:t>
      </w:r>
    </w:p>
    <w:p w14:paraId="7B6019BB">
      <w:pPr>
        <w:pStyle w:val="62"/>
        <w:spacing w:line="360" w:lineRule="auto"/>
        <w:ind w:firstLine="420"/>
        <w:rPr>
          <w:rFonts w:hint="eastAsia" w:ascii="宋体" w:hAnsi="宋体"/>
          <w:color w:val="auto"/>
          <w:kern w:val="2"/>
          <w:sz w:val="24"/>
          <w:szCs w:val="24"/>
          <w:highlight w:val="none"/>
        </w:rPr>
      </w:pPr>
      <w:r>
        <w:rPr>
          <w:rFonts w:hint="eastAsia" w:ascii="宋体" w:hAnsi="宋体"/>
          <w:color w:val="auto"/>
          <w:kern w:val="2"/>
          <w:sz w:val="24"/>
          <w:szCs w:val="24"/>
          <w:highlight w:val="none"/>
        </w:rPr>
        <w:t>3.2.2 响应报价表中的大写金额和小写金额不一致的，以大写金额为准；总价金额与单价金额不一致的，以单价金额为准，但单价金额小数点有明显错误的除外；对不同文字文本响应文件的解释发生异议的，以中文文本为准。</w:t>
      </w:r>
    </w:p>
    <w:p w14:paraId="193F6E3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3.3投标有效期</w:t>
      </w:r>
    </w:p>
    <w:p w14:paraId="77D14F2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3.3.1在供应商须知前附表规定的磋商有效期内，供应商不得要求撤销或修改其竞争性磋商响应文件。</w:t>
      </w:r>
    </w:p>
    <w:p w14:paraId="3E84EAD2">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3.3.2出现特殊情况需要延长磋商有效期的，采购人以书面形式通知所有供应商延长磋商有效期。供应商同意延长的，不得要求或被允许修改或撤销其竞争性磋商响应文件；供应商拒绝延长的，其磋商失效。</w:t>
      </w:r>
    </w:p>
    <w:p w14:paraId="1D4E64CD">
      <w:pPr>
        <w:tabs>
          <w:tab w:val="left" w:pos="0"/>
        </w:tabs>
        <w:spacing w:line="360" w:lineRule="auto"/>
        <w:ind w:firstLine="460" w:firstLineChars="192"/>
        <w:rPr>
          <w:rFonts w:hint="eastAsia" w:ascii="宋体" w:hAnsi="宋体"/>
          <w:color w:val="auto"/>
          <w:sz w:val="24"/>
          <w:highlight w:val="none"/>
        </w:rPr>
      </w:pPr>
      <w:bookmarkStart w:id="172" w:name="_Toc485232619"/>
      <w:bookmarkStart w:id="173" w:name="_Toc27428625"/>
      <w:bookmarkStart w:id="174" w:name="_Toc152045550"/>
      <w:bookmarkStart w:id="175" w:name="_Toc43823037"/>
      <w:bookmarkStart w:id="176" w:name="_Toc144974518"/>
      <w:bookmarkStart w:id="177" w:name="_Toc486261789"/>
      <w:bookmarkStart w:id="178" w:name="_Toc152042326"/>
      <w:bookmarkStart w:id="179" w:name="_Toc43915729"/>
      <w:bookmarkStart w:id="180" w:name="_Toc179632568"/>
      <w:r>
        <w:rPr>
          <w:rFonts w:hint="eastAsia" w:ascii="宋体" w:hAnsi="宋体"/>
          <w:color w:val="auto"/>
          <w:sz w:val="24"/>
          <w:highlight w:val="none"/>
        </w:rPr>
        <w:t>3.4磋商保证金</w:t>
      </w:r>
      <w:bookmarkEnd w:id="172"/>
      <w:bookmarkEnd w:id="173"/>
      <w:bookmarkEnd w:id="174"/>
      <w:bookmarkEnd w:id="175"/>
      <w:bookmarkEnd w:id="176"/>
      <w:bookmarkEnd w:id="177"/>
      <w:bookmarkEnd w:id="178"/>
      <w:bookmarkEnd w:id="179"/>
      <w:bookmarkEnd w:id="180"/>
    </w:p>
    <w:p w14:paraId="6FB2FD1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本项目无需递交保证金。</w:t>
      </w:r>
    </w:p>
    <w:p w14:paraId="7441EF11">
      <w:pPr>
        <w:tabs>
          <w:tab w:val="left" w:pos="0"/>
        </w:tabs>
        <w:spacing w:line="360" w:lineRule="auto"/>
        <w:ind w:firstLine="460" w:firstLineChars="192"/>
        <w:rPr>
          <w:rFonts w:hint="eastAsia" w:ascii="宋体" w:hAnsi="宋体"/>
          <w:color w:val="auto"/>
          <w:sz w:val="24"/>
          <w:highlight w:val="none"/>
        </w:rPr>
      </w:pPr>
      <w:bookmarkStart w:id="181" w:name="_Toc152042328"/>
      <w:bookmarkStart w:id="182" w:name="_Toc179632570"/>
      <w:bookmarkStart w:id="183" w:name="_Toc43823038"/>
      <w:bookmarkStart w:id="184" w:name="_Toc43915730"/>
      <w:bookmarkStart w:id="185" w:name="_Toc485232620"/>
      <w:bookmarkStart w:id="186" w:name="_Toc486261790"/>
      <w:bookmarkStart w:id="187" w:name="_Toc27428626"/>
      <w:bookmarkStart w:id="188" w:name="_Toc144974520"/>
      <w:bookmarkStart w:id="189" w:name="_Toc152045552"/>
      <w:r>
        <w:rPr>
          <w:rFonts w:hint="eastAsia" w:ascii="宋体" w:hAnsi="宋体"/>
          <w:color w:val="auto"/>
          <w:sz w:val="24"/>
          <w:highlight w:val="none"/>
        </w:rPr>
        <w:t>3.5资格审查资</w:t>
      </w:r>
      <w:bookmarkEnd w:id="181"/>
      <w:bookmarkEnd w:id="182"/>
      <w:bookmarkEnd w:id="183"/>
      <w:bookmarkEnd w:id="184"/>
      <w:bookmarkEnd w:id="185"/>
      <w:bookmarkEnd w:id="186"/>
      <w:bookmarkEnd w:id="187"/>
      <w:bookmarkEnd w:id="188"/>
      <w:bookmarkEnd w:id="189"/>
      <w:r>
        <w:rPr>
          <w:rFonts w:hint="eastAsia" w:ascii="宋体" w:hAnsi="宋体"/>
          <w:color w:val="auto"/>
          <w:sz w:val="24"/>
          <w:highlight w:val="none"/>
        </w:rPr>
        <w:t>料</w:t>
      </w:r>
    </w:p>
    <w:p w14:paraId="116DB57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详见供应商须知前附表第11项规定。</w:t>
      </w:r>
    </w:p>
    <w:p w14:paraId="70FCBD5B">
      <w:pPr>
        <w:tabs>
          <w:tab w:val="left" w:pos="0"/>
        </w:tabs>
        <w:spacing w:line="360" w:lineRule="auto"/>
        <w:ind w:firstLine="460" w:firstLineChars="192"/>
        <w:rPr>
          <w:rFonts w:hint="eastAsia" w:ascii="宋体" w:hAnsi="宋体"/>
          <w:color w:val="auto"/>
          <w:sz w:val="24"/>
          <w:highlight w:val="none"/>
        </w:rPr>
      </w:pPr>
      <w:bookmarkStart w:id="190" w:name="_Toc152042329"/>
      <w:bookmarkStart w:id="191" w:name="_Toc27428627"/>
      <w:bookmarkStart w:id="192" w:name="_Toc152045553"/>
      <w:bookmarkStart w:id="193" w:name="_Toc144974521"/>
      <w:bookmarkStart w:id="194" w:name="_Toc179632571"/>
      <w:bookmarkStart w:id="195" w:name="_Toc485232621"/>
      <w:bookmarkStart w:id="196" w:name="_Toc43823039"/>
      <w:bookmarkStart w:id="197" w:name="_Toc43915731"/>
      <w:bookmarkStart w:id="198" w:name="_Toc486261791"/>
      <w:r>
        <w:rPr>
          <w:rFonts w:hint="eastAsia" w:ascii="宋体" w:hAnsi="宋体"/>
          <w:color w:val="auto"/>
          <w:sz w:val="24"/>
          <w:highlight w:val="none"/>
        </w:rPr>
        <w:t>3.6备选投标方案</w:t>
      </w:r>
      <w:bookmarkEnd w:id="190"/>
      <w:bookmarkEnd w:id="191"/>
      <w:bookmarkEnd w:id="192"/>
      <w:bookmarkEnd w:id="193"/>
      <w:bookmarkEnd w:id="194"/>
      <w:bookmarkEnd w:id="195"/>
      <w:bookmarkEnd w:id="196"/>
      <w:bookmarkEnd w:id="197"/>
      <w:bookmarkEnd w:id="198"/>
    </w:p>
    <w:p w14:paraId="7E9F7FE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除供应商须知前附表另有规定外，供应商不得递交备选投标方案。允许供应商递交备选投标方案的，只有成交供应商所递交的备选投标方案方可予以考虑。磋商小组认为成交供应商的备选投标方案优于其按照竞争性磋商文件要求编制的投标方案的，采购人可以接受该备选投标方案。</w:t>
      </w:r>
    </w:p>
    <w:p w14:paraId="38877490">
      <w:pPr>
        <w:tabs>
          <w:tab w:val="left" w:pos="0"/>
        </w:tabs>
        <w:spacing w:line="360" w:lineRule="auto"/>
        <w:ind w:firstLine="460" w:firstLineChars="192"/>
        <w:rPr>
          <w:rFonts w:hint="eastAsia" w:ascii="宋体" w:hAnsi="宋体"/>
          <w:color w:val="auto"/>
          <w:sz w:val="24"/>
          <w:highlight w:val="none"/>
        </w:rPr>
      </w:pPr>
      <w:bookmarkStart w:id="199" w:name="_Toc17301"/>
      <w:bookmarkStart w:id="200" w:name="_Toc27428629"/>
      <w:bookmarkStart w:id="201" w:name="_Toc43915733"/>
      <w:bookmarkStart w:id="202" w:name="_Toc43823041"/>
      <w:r>
        <w:rPr>
          <w:rFonts w:hint="eastAsia" w:ascii="宋体" w:hAnsi="宋体"/>
          <w:color w:val="auto"/>
          <w:sz w:val="24"/>
          <w:highlight w:val="none"/>
        </w:rPr>
        <w:t>3.7响应文件</w:t>
      </w:r>
      <w:bookmarkEnd w:id="199"/>
      <w:bookmarkEnd w:id="200"/>
      <w:bookmarkEnd w:id="201"/>
      <w:bookmarkEnd w:id="202"/>
      <w:r>
        <w:rPr>
          <w:rFonts w:hint="eastAsia" w:ascii="宋体" w:hAnsi="宋体"/>
          <w:color w:val="auto"/>
          <w:sz w:val="24"/>
          <w:highlight w:val="none"/>
        </w:rPr>
        <w:t>的编制</w:t>
      </w:r>
    </w:p>
    <w:p w14:paraId="780E95F9">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3.7.1响应文件应按第八章“响应文件格式”进行编写。其中，首次报价一览表在满足竞争性磋商文件实质性要求的基础上，可以提出比竞争性磋商文件要求更有利于采购人的承诺。</w:t>
      </w:r>
    </w:p>
    <w:p w14:paraId="63C062D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3.7.2响应文件应当对竞争性磋商文件有关服务期限、磋商有效期、质量要求、采购内容等实质性内容作出响应。</w:t>
      </w:r>
    </w:p>
    <w:p w14:paraId="03E48DE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3.7.3响应文件封面须加盖单位和法定代表人的电子印章。</w:t>
      </w:r>
    </w:p>
    <w:p w14:paraId="2A791491">
      <w:pPr>
        <w:numPr>
          <w:ilvl w:val="0"/>
          <w:numId w:val="3"/>
        </w:numPr>
        <w:tabs>
          <w:tab w:val="left" w:pos="0"/>
        </w:tabs>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投标</w:t>
      </w:r>
    </w:p>
    <w:p w14:paraId="4567C341">
      <w:pPr>
        <w:tabs>
          <w:tab w:val="left" w:pos="0"/>
        </w:tabs>
        <w:spacing w:line="360" w:lineRule="auto"/>
        <w:ind w:left="420" w:leftChars="200"/>
        <w:rPr>
          <w:rFonts w:hint="eastAsia" w:ascii="宋体" w:hAnsi="宋体"/>
          <w:color w:val="auto"/>
          <w:sz w:val="24"/>
          <w:highlight w:val="none"/>
        </w:rPr>
      </w:pPr>
      <w:r>
        <w:rPr>
          <w:rFonts w:hint="eastAsia" w:ascii="宋体" w:hAnsi="宋体"/>
          <w:color w:val="auto"/>
          <w:sz w:val="24"/>
          <w:highlight w:val="none"/>
        </w:rPr>
        <w:t>4.1响应文件的密封和标记</w:t>
      </w:r>
    </w:p>
    <w:p w14:paraId="43E7867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4.1.1供应商在生成电子化响应文件后，应对电子化响应文件进行签章，未进行签章的视为无效响应。</w:t>
      </w:r>
    </w:p>
    <w:p w14:paraId="349516B0">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4.1.2响应文件中要求法定代表人或授权委托人签字或盖章的，供应商在进行电子化响应文件签章时，以签盖法定代表人签章为准。</w:t>
      </w:r>
    </w:p>
    <w:p w14:paraId="18039DFC">
      <w:pPr>
        <w:tabs>
          <w:tab w:val="left" w:pos="0"/>
        </w:tabs>
        <w:spacing w:line="360" w:lineRule="auto"/>
        <w:ind w:firstLine="460" w:firstLineChars="192"/>
        <w:rPr>
          <w:rFonts w:hint="eastAsia" w:ascii="宋体" w:hAnsi="宋体"/>
          <w:color w:val="auto"/>
          <w:sz w:val="24"/>
          <w:highlight w:val="none"/>
        </w:rPr>
      </w:pPr>
      <w:bookmarkStart w:id="203" w:name="_Toc144974525"/>
      <w:bookmarkStart w:id="204" w:name="_Toc486261795"/>
      <w:bookmarkStart w:id="205" w:name="_Toc485232625"/>
      <w:bookmarkStart w:id="206" w:name="_Toc43915735"/>
      <w:bookmarkStart w:id="207" w:name="_Toc27428631"/>
      <w:bookmarkStart w:id="208" w:name="_Toc152042333"/>
      <w:bookmarkStart w:id="209" w:name="_Toc179632575"/>
      <w:bookmarkStart w:id="210" w:name="_Toc43823043"/>
      <w:bookmarkStart w:id="211" w:name="_Toc152045557"/>
      <w:r>
        <w:rPr>
          <w:rFonts w:hint="eastAsia" w:ascii="宋体" w:hAnsi="宋体"/>
          <w:color w:val="auto"/>
          <w:sz w:val="24"/>
          <w:highlight w:val="none"/>
        </w:rPr>
        <w:t>4.2响应文件的递交</w:t>
      </w:r>
      <w:bookmarkEnd w:id="203"/>
      <w:bookmarkEnd w:id="204"/>
      <w:bookmarkEnd w:id="205"/>
      <w:bookmarkEnd w:id="206"/>
      <w:bookmarkEnd w:id="207"/>
      <w:bookmarkEnd w:id="208"/>
      <w:bookmarkEnd w:id="209"/>
      <w:bookmarkEnd w:id="210"/>
      <w:bookmarkEnd w:id="211"/>
    </w:p>
    <w:p w14:paraId="2AA3F48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4.2.1供应商应在投标截止时间内将响应文件上传至平顶山公共资源中心网站。</w:t>
      </w:r>
    </w:p>
    <w:p w14:paraId="0751E6D7">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4.2.2供应商递交响应文件的地点：见供应商须知前附表。</w:t>
      </w:r>
    </w:p>
    <w:p w14:paraId="2C028951">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4.2.3除供应商须知前附表另有规定外，供应商所递交的响应文件不予退还。</w:t>
      </w:r>
    </w:p>
    <w:p w14:paraId="2E5B90BE">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4.2.4逾期送达的或者未送达指定地点的响应文件，采购人不予受理。</w:t>
      </w:r>
    </w:p>
    <w:p w14:paraId="13C3A02C">
      <w:pPr>
        <w:tabs>
          <w:tab w:val="left" w:pos="0"/>
        </w:tabs>
        <w:spacing w:line="360" w:lineRule="auto"/>
        <w:ind w:firstLine="460" w:firstLineChars="192"/>
        <w:rPr>
          <w:rFonts w:hint="eastAsia" w:ascii="宋体" w:hAnsi="宋体"/>
          <w:color w:val="auto"/>
          <w:sz w:val="24"/>
          <w:highlight w:val="none"/>
        </w:rPr>
      </w:pPr>
      <w:bookmarkStart w:id="212" w:name="_Toc144974526"/>
      <w:bookmarkStart w:id="213" w:name="_Toc152045558"/>
      <w:bookmarkStart w:id="214" w:name="_Toc179632576"/>
      <w:bookmarkStart w:id="215" w:name="_Toc485232626"/>
      <w:bookmarkStart w:id="216" w:name="_Toc43823044"/>
      <w:bookmarkStart w:id="217" w:name="_Toc43915736"/>
      <w:bookmarkStart w:id="218" w:name="_Toc27428632"/>
      <w:bookmarkStart w:id="219" w:name="_Toc486261796"/>
      <w:bookmarkStart w:id="220" w:name="_Toc152042334"/>
      <w:r>
        <w:rPr>
          <w:rFonts w:hint="eastAsia" w:ascii="宋体" w:hAnsi="宋体"/>
          <w:color w:val="auto"/>
          <w:sz w:val="24"/>
          <w:highlight w:val="none"/>
        </w:rPr>
        <w:t>4.3响应文件的修改与撤回</w:t>
      </w:r>
      <w:bookmarkEnd w:id="212"/>
      <w:bookmarkEnd w:id="213"/>
      <w:bookmarkEnd w:id="214"/>
      <w:bookmarkEnd w:id="215"/>
      <w:bookmarkEnd w:id="216"/>
      <w:bookmarkEnd w:id="217"/>
      <w:bookmarkEnd w:id="218"/>
      <w:bookmarkEnd w:id="219"/>
      <w:bookmarkEnd w:id="220"/>
    </w:p>
    <w:p w14:paraId="5CD1E7C4">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在本章第2.2.3项规定的投标截止时间前，供应商可以修改或撤回已递交的响应文件。</w:t>
      </w:r>
    </w:p>
    <w:p w14:paraId="187492DE">
      <w:pPr>
        <w:tabs>
          <w:tab w:val="left" w:pos="0"/>
        </w:tabs>
        <w:spacing w:line="360" w:lineRule="auto"/>
        <w:ind w:firstLine="463" w:firstLineChars="192"/>
        <w:rPr>
          <w:rFonts w:hint="eastAsia" w:ascii="宋体" w:hAnsi="宋体"/>
          <w:b/>
          <w:bCs/>
          <w:color w:val="auto"/>
          <w:sz w:val="24"/>
          <w:highlight w:val="none"/>
        </w:rPr>
      </w:pPr>
      <w:bookmarkStart w:id="221" w:name="_Toc485232627"/>
      <w:bookmarkStart w:id="222" w:name="_Toc486261797"/>
      <w:bookmarkStart w:id="223" w:name="_Toc43823045"/>
      <w:bookmarkStart w:id="224" w:name="_Toc27428633"/>
      <w:bookmarkStart w:id="225" w:name="_Toc43915737"/>
      <w:bookmarkStart w:id="226" w:name="_Toc29364"/>
      <w:r>
        <w:rPr>
          <w:rFonts w:hint="eastAsia" w:ascii="宋体" w:hAnsi="宋体"/>
          <w:b/>
          <w:bCs/>
          <w:color w:val="auto"/>
          <w:sz w:val="24"/>
          <w:highlight w:val="none"/>
        </w:rPr>
        <w:t>5．</w:t>
      </w:r>
      <w:bookmarkEnd w:id="221"/>
      <w:bookmarkEnd w:id="222"/>
      <w:bookmarkEnd w:id="223"/>
      <w:bookmarkEnd w:id="224"/>
      <w:bookmarkEnd w:id="225"/>
      <w:bookmarkEnd w:id="226"/>
      <w:r>
        <w:rPr>
          <w:rFonts w:hint="eastAsia" w:ascii="宋体" w:hAnsi="宋体"/>
          <w:b/>
          <w:bCs/>
          <w:color w:val="auto"/>
          <w:sz w:val="24"/>
          <w:highlight w:val="none"/>
        </w:rPr>
        <w:t>开标</w:t>
      </w:r>
    </w:p>
    <w:p w14:paraId="5647483E">
      <w:pPr>
        <w:tabs>
          <w:tab w:val="left" w:pos="0"/>
        </w:tabs>
        <w:spacing w:line="360" w:lineRule="auto"/>
        <w:ind w:firstLine="460" w:firstLineChars="192"/>
        <w:rPr>
          <w:rFonts w:hint="eastAsia" w:ascii="宋体" w:hAnsi="宋体"/>
          <w:color w:val="auto"/>
          <w:sz w:val="24"/>
          <w:highlight w:val="none"/>
        </w:rPr>
      </w:pPr>
      <w:bookmarkStart w:id="227" w:name="_Toc152042336"/>
      <w:bookmarkStart w:id="228" w:name="_Toc43915738"/>
      <w:bookmarkStart w:id="229" w:name="_Toc486261798"/>
      <w:bookmarkStart w:id="230" w:name="_Toc152045560"/>
      <w:bookmarkStart w:id="231" w:name="_Toc144974528"/>
      <w:bookmarkStart w:id="232" w:name="_Toc485232628"/>
      <w:bookmarkStart w:id="233" w:name="_Toc43823046"/>
      <w:bookmarkStart w:id="234" w:name="_Toc27428634"/>
      <w:bookmarkStart w:id="235" w:name="_Toc179632578"/>
      <w:r>
        <w:rPr>
          <w:rFonts w:hint="eastAsia" w:ascii="宋体" w:hAnsi="宋体"/>
          <w:color w:val="auto"/>
          <w:sz w:val="24"/>
          <w:highlight w:val="none"/>
        </w:rPr>
        <w:t>5.1开标时间和地点</w:t>
      </w:r>
      <w:bookmarkEnd w:id="227"/>
      <w:bookmarkEnd w:id="228"/>
      <w:bookmarkEnd w:id="229"/>
      <w:bookmarkEnd w:id="230"/>
      <w:bookmarkEnd w:id="231"/>
      <w:bookmarkEnd w:id="232"/>
      <w:bookmarkEnd w:id="233"/>
      <w:bookmarkEnd w:id="234"/>
      <w:bookmarkEnd w:id="235"/>
    </w:p>
    <w:p w14:paraId="26A1792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采购人在本章第2.2.3项规定的投标截止时间和供应商须知前附表规定的地点开标。</w:t>
      </w:r>
    </w:p>
    <w:p w14:paraId="6D26162D">
      <w:pPr>
        <w:tabs>
          <w:tab w:val="left" w:pos="0"/>
        </w:tabs>
        <w:spacing w:line="360" w:lineRule="auto"/>
        <w:ind w:firstLine="460" w:firstLineChars="192"/>
        <w:rPr>
          <w:rFonts w:hint="eastAsia" w:ascii="宋体" w:hAnsi="宋体"/>
          <w:color w:val="auto"/>
          <w:sz w:val="24"/>
          <w:highlight w:val="none"/>
        </w:rPr>
      </w:pPr>
      <w:bookmarkStart w:id="236" w:name="_Toc43915739"/>
      <w:r>
        <w:rPr>
          <w:rFonts w:hint="eastAsia" w:ascii="宋体" w:hAnsi="宋体"/>
          <w:color w:val="auto"/>
          <w:sz w:val="24"/>
          <w:highlight w:val="none"/>
        </w:rPr>
        <w:t>5.2开标程序</w:t>
      </w:r>
      <w:bookmarkEnd w:id="236"/>
    </w:p>
    <w:p w14:paraId="074B2F9F">
      <w:pPr>
        <w:tabs>
          <w:tab w:val="left" w:pos="0"/>
        </w:tabs>
        <w:spacing w:line="360" w:lineRule="auto"/>
        <w:ind w:firstLine="460" w:firstLineChars="192"/>
        <w:rPr>
          <w:rFonts w:hint="eastAsia" w:ascii="宋体" w:hAnsi="宋体"/>
          <w:color w:val="auto"/>
          <w:sz w:val="24"/>
          <w:highlight w:val="none"/>
        </w:rPr>
      </w:pPr>
      <w:bookmarkStart w:id="237" w:name="_Toc23427"/>
      <w:r>
        <w:rPr>
          <w:rFonts w:hint="eastAsia" w:ascii="宋体" w:hAnsi="宋体"/>
          <w:color w:val="auto"/>
          <w:sz w:val="24"/>
          <w:highlight w:val="none"/>
        </w:rPr>
        <w:t>具体程序按平顶山市公共资源交易中心系统执行。</w:t>
      </w:r>
      <w:bookmarkEnd w:id="237"/>
    </w:p>
    <w:p w14:paraId="39343724">
      <w:pPr>
        <w:tabs>
          <w:tab w:val="left" w:pos="0"/>
        </w:tabs>
        <w:spacing w:line="360" w:lineRule="auto"/>
        <w:ind w:firstLine="463" w:firstLineChars="192"/>
        <w:rPr>
          <w:rFonts w:hint="eastAsia" w:ascii="宋体" w:hAnsi="宋体"/>
          <w:b/>
          <w:bCs/>
          <w:color w:val="auto"/>
          <w:sz w:val="24"/>
          <w:highlight w:val="none"/>
        </w:rPr>
      </w:pPr>
      <w:bookmarkStart w:id="238" w:name="_Toc13572"/>
      <w:r>
        <w:rPr>
          <w:rFonts w:hint="eastAsia" w:ascii="宋体" w:hAnsi="宋体"/>
          <w:b/>
          <w:bCs/>
          <w:color w:val="auto"/>
          <w:sz w:val="24"/>
          <w:highlight w:val="none"/>
        </w:rPr>
        <w:t>6．</w:t>
      </w:r>
      <w:bookmarkEnd w:id="238"/>
      <w:r>
        <w:rPr>
          <w:rFonts w:hint="eastAsia" w:ascii="宋体" w:hAnsi="宋体"/>
          <w:b/>
          <w:bCs/>
          <w:color w:val="auto"/>
          <w:sz w:val="24"/>
          <w:highlight w:val="none"/>
        </w:rPr>
        <w:t>磋商（电子化项目开标、解密、唱标、评标）</w:t>
      </w:r>
    </w:p>
    <w:p w14:paraId="25062D23">
      <w:pPr>
        <w:tabs>
          <w:tab w:val="left" w:pos="0"/>
        </w:tabs>
        <w:spacing w:line="360" w:lineRule="auto"/>
        <w:ind w:firstLine="460" w:firstLineChars="192"/>
        <w:rPr>
          <w:rFonts w:hint="eastAsia" w:ascii="宋体" w:hAnsi="宋体"/>
          <w:color w:val="auto"/>
          <w:sz w:val="24"/>
          <w:highlight w:val="none"/>
        </w:rPr>
      </w:pPr>
      <w:bookmarkStart w:id="239" w:name="_Toc179632581"/>
      <w:bookmarkStart w:id="240" w:name="_Toc485232631"/>
      <w:bookmarkStart w:id="241" w:name="_Toc152045563"/>
      <w:bookmarkStart w:id="242" w:name="_Toc43823049"/>
      <w:bookmarkStart w:id="243" w:name="_Toc152042339"/>
      <w:bookmarkStart w:id="244" w:name="_Toc43915741"/>
      <w:bookmarkStart w:id="245" w:name="_Toc144974531"/>
      <w:bookmarkStart w:id="246" w:name="_Toc27428637"/>
      <w:bookmarkStart w:id="247" w:name="_Toc486261801"/>
      <w:r>
        <w:rPr>
          <w:rFonts w:hint="eastAsia" w:ascii="宋体" w:hAnsi="宋体"/>
          <w:color w:val="auto"/>
          <w:sz w:val="24"/>
          <w:highlight w:val="none"/>
        </w:rPr>
        <w:t>6.1磋商小组</w:t>
      </w:r>
      <w:bookmarkEnd w:id="239"/>
      <w:bookmarkEnd w:id="240"/>
      <w:bookmarkEnd w:id="241"/>
      <w:bookmarkEnd w:id="242"/>
      <w:bookmarkEnd w:id="243"/>
      <w:bookmarkEnd w:id="244"/>
      <w:bookmarkEnd w:id="245"/>
      <w:bookmarkEnd w:id="246"/>
      <w:bookmarkEnd w:id="247"/>
    </w:p>
    <w:p w14:paraId="0B9A788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6.1.1评审由采购人依法组建的磋商小组负责。磋商小组由采购人代表以及有关技术、经济等方面的专家组成。磋商小组成员人数以及技术、经济等方面专家的确定方式见供应商须知前附表。</w:t>
      </w:r>
    </w:p>
    <w:p w14:paraId="7DDE72AB">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6.1.2磋商小组成员有下列情形之一的，应当回避：</w:t>
      </w:r>
    </w:p>
    <w:p w14:paraId="0DDCF10F">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（1）采购人或供应商的主要负责人的近亲属；</w:t>
      </w:r>
    </w:p>
    <w:p w14:paraId="6473B595">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（2）项目主管部门或者行政监督部门的人员；</w:t>
      </w:r>
    </w:p>
    <w:p w14:paraId="52F4499A">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（3）与供应商有经济利益关系，可能影响对磋商公正评审的；</w:t>
      </w:r>
    </w:p>
    <w:p w14:paraId="5EA003DD">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（4）曾因在采购、评审以及其他与采购投标有关活动中从事违法行为而受过行政处罚或刑事处罚的。</w:t>
      </w:r>
    </w:p>
    <w:p w14:paraId="4A9C8EC6">
      <w:pPr>
        <w:tabs>
          <w:tab w:val="left" w:pos="0"/>
        </w:tabs>
        <w:spacing w:line="360" w:lineRule="auto"/>
        <w:ind w:firstLine="460" w:firstLineChars="192"/>
        <w:rPr>
          <w:rFonts w:hint="eastAsia" w:ascii="宋体" w:hAnsi="宋体"/>
          <w:color w:val="auto"/>
          <w:sz w:val="24"/>
          <w:highlight w:val="none"/>
        </w:rPr>
      </w:pPr>
      <w:bookmarkStart w:id="248" w:name="_Toc27428638"/>
      <w:bookmarkStart w:id="249" w:name="_Toc152045564"/>
      <w:bookmarkStart w:id="250" w:name="_Toc43915742"/>
      <w:bookmarkStart w:id="251" w:name="_Toc43823050"/>
      <w:bookmarkStart w:id="252" w:name="_Toc485232632"/>
      <w:bookmarkStart w:id="253" w:name="_Toc152042340"/>
      <w:bookmarkStart w:id="254" w:name="_Toc144974532"/>
      <w:bookmarkStart w:id="255" w:name="_Toc486261802"/>
      <w:bookmarkStart w:id="256" w:name="_Toc179632582"/>
      <w:r>
        <w:rPr>
          <w:rFonts w:hint="eastAsia" w:ascii="宋体" w:hAnsi="宋体"/>
          <w:color w:val="auto"/>
          <w:sz w:val="24"/>
          <w:highlight w:val="none"/>
        </w:rPr>
        <w:t>6.2评审原则</w:t>
      </w:r>
      <w:bookmarkEnd w:id="248"/>
      <w:bookmarkEnd w:id="249"/>
      <w:bookmarkEnd w:id="250"/>
      <w:bookmarkEnd w:id="251"/>
      <w:bookmarkEnd w:id="252"/>
      <w:bookmarkEnd w:id="253"/>
      <w:bookmarkEnd w:id="254"/>
      <w:bookmarkEnd w:id="255"/>
      <w:bookmarkEnd w:id="256"/>
    </w:p>
    <w:p w14:paraId="65CD447C">
      <w:pPr>
        <w:tabs>
          <w:tab w:val="left" w:pos="0"/>
        </w:tabs>
        <w:spacing w:line="360" w:lineRule="auto"/>
        <w:ind w:firstLine="460" w:firstLineChars="192"/>
        <w:rPr>
          <w:rFonts w:hint="eastAsia" w:ascii="宋体" w:hAnsi="宋体"/>
          <w:color w:val="auto"/>
          <w:sz w:val="24"/>
          <w:highlight w:val="none"/>
        </w:rPr>
      </w:pPr>
      <w:r>
        <w:rPr>
          <w:rFonts w:hint="eastAsia" w:ascii="宋体" w:hAnsi="宋体"/>
          <w:color w:val="auto"/>
          <w:sz w:val="24"/>
          <w:highlight w:val="none"/>
        </w:rPr>
        <w:t>评审活动遵循公平、公正、科学、保密和择优的原则。</w:t>
      </w:r>
    </w:p>
    <w:p w14:paraId="78DDD0D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 评审程序</w:t>
      </w:r>
    </w:p>
    <w:p w14:paraId="06E85B42">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6.3.1响应文件的初审包含形式评审、资格性评审和响应性评审。具体的评审因素见第三章评审办法。</w:t>
      </w:r>
    </w:p>
    <w:p w14:paraId="31B57D0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6.3.2没有实质性响应磋商文件要求的响应文件将被否决。</w:t>
      </w:r>
      <w:r>
        <w:rPr>
          <w:rFonts w:hint="eastAsia" w:hAnsi="宋体"/>
          <w:color w:val="auto"/>
          <w:sz w:val="24"/>
          <w:highlight w:val="none"/>
        </w:rPr>
        <w:t>投标人</w:t>
      </w:r>
      <w:r>
        <w:rPr>
          <w:rFonts w:hint="eastAsia" w:ascii="宋体" w:hAnsi="宋体"/>
          <w:color w:val="auto"/>
          <w:sz w:val="24"/>
          <w:highlight w:val="none"/>
        </w:rPr>
        <w:t>不得通过修正、补充或撤销不合要求的偏离或保留从而使其响应文件成为实质上响应的磋商文件。有下列情形之一者视为未实质性响应磋商文件，其响应文件将被否决：</w:t>
      </w:r>
    </w:p>
    <w:p w14:paraId="27678C0A">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（1）不同</w:t>
      </w:r>
      <w:r>
        <w:rPr>
          <w:rFonts w:hint="eastAsia" w:hAnsi="宋体"/>
          <w:color w:val="auto"/>
          <w:sz w:val="24"/>
          <w:highlight w:val="none"/>
        </w:rPr>
        <w:t>投标人</w:t>
      </w:r>
      <w:r>
        <w:rPr>
          <w:rFonts w:hint="eastAsia" w:ascii="宋体" w:hAnsi="宋体"/>
          <w:color w:val="auto"/>
          <w:sz w:val="24"/>
          <w:highlight w:val="none"/>
        </w:rPr>
        <w:t>法定代表人为同一人或者存在控股、管理关系的；</w:t>
      </w:r>
    </w:p>
    <w:p w14:paraId="29B36F61">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（2）响应文件未按磋商文件的要求签署的；</w:t>
      </w:r>
    </w:p>
    <w:p w14:paraId="657A622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w:t>
      </w:r>
      <w:r>
        <w:rPr>
          <w:rFonts w:hint="eastAsia" w:hAnsi="宋体"/>
          <w:color w:val="auto"/>
          <w:sz w:val="24"/>
          <w:highlight w:val="none"/>
        </w:rPr>
        <w:t>投标人</w:t>
      </w:r>
      <w:r>
        <w:rPr>
          <w:rFonts w:hint="eastAsia" w:ascii="宋体" w:hAnsi="宋体"/>
          <w:color w:val="auto"/>
          <w:sz w:val="24"/>
          <w:highlight w:val="none"/>
        </w:rPr>
        <w:t>的磋商函、资格证明材料未提供，或不符合国家规定或者磋商文件要求的；</w:t>
      </w:r>
    </w:p>
    <w:p w14:paraId="4B6A934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（4）同一</w:t>
      </w:r>
      <w:r>
        <w:rPr>
          <w:rFonts w:hint="eastAsia" w:hAnsi="宋体"/>
          <w:color w:val="auto"/>
          <w:sz w:val="24"/>
          <w:highlight w:val="none"/>
        </w:rPr>
        <w:t>投标人</w:t>
      </w:r>
      <w:r>
        <w:rPr>
          <w:rFonts w:hint="eastAsia" w:ascii="宋体" w:hAnsi="宋体"/>
          <w:color w:val="auto"/>
          <w:sz w:val="24"/>
          <w:highlight w:val="none"/>
        </w:rPr>
        <w:t>首次提交两个以上不同的方案或者磋商价格的，但磋商文件有要求的除外；</w:t>
      </w:r>
    </w:p>
    <w:p w14:paraId="1C2D9B6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（5）磋商价格高于磋商文件设定的控制价（或最高限价）的；</w:t>
      </w:r>
    </w:p>
    <w:p w14:paraId="5B96002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6.3.3澄清有关问题</w:t>
      </w:r>
    </w:p>
    <w:p w14:paraId="646490B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对响应文件中含义不明确、同类问题表述不一致或者有明显文字和计算错误的内容，磋商小组可以要求</w:t>
      </w:r>
      <w:r>
        <w:rPr>
          <w:rFonts w:hint="eastAsia" w:hAnsi="宋体"/>
          <w:color w:val="auto"/>
          <w:sz w:val="24"/>
          <w:highlight w:val="none"/>
        </w:rPr>
        <w:t>投标人</w:t>
      </w:r>
      <w:r>
        <w:rPr>
          <w:rFonts w:hint="eastAsia" w:ascii="宋体" w:hAnsi="宋体"/>
          <w:color w:val="auto"/>
          <w:sz w:val="24"/>
          <w:highlight w:val="none"/>
        </w:rPr>
        <w:t>作出必要的澄清、说明或者纠正。</w:t>
      </w:r>
      <w:r>
        <w:rPr>
          <w:rFonts w:hint="eastAsia" w:hAnsi="宋体"/>
          <w:color w:val="auto"/>
          <w:sz w:val="24"/>
          <w:highlight w:val="none"/>
        </w:rPr>
        <w:t>投标人</w:t>
      </w:r>
      <w:r>
        <w:rPr>
          <w:rFonts w:hint="eastAsia" w:ascii="宋体" w:hAnsi="宋体"/>
          <w:color w:val="auto"/>
          <w:sz w:val="24"/>
          <w:highlight w:val="none"/>
        </w:rPr>
        <w:t>的澄清、说明或者补正应当在电子交易系统中提交，并不得超出响应文件的范围或者改变响应文件的实质性内容。</w:t>
      </w:r>
    </w:p>
    <w:p w14:paraId="43B60B9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磋商小组要求</w:t>
      </w:r>
      <w:r>
        <w:rPr>
          <w:rFonts w:hint="eastAsia" w:hAnsi="宋体"/>
          <w:color w:val="auto"/>
          <w:sz w:val="24"/>
          <w:highlight w:val="none"/>
        </w:rPr>
        <w:t>投标人</w:t>
      </w:r>
      <w:r>
        <w:rPr>
          <w:rFonts w:hint="eastAsia" w:ascii="宋体" w:hAnsi="宋体"/>
          <w:color w:val="auto"/>
          <w:sz w:val="24"/>
          <w:highlight w:val="none"/>
        </w:rPr>
        <w:t>澄清、说明或者更正响应文件应当在电子交易系统中提出。</w:t>
      </w:r>
      <w:r>
        <w:rPr>
          <w:rFonts w:hint="eastAsia" w:hAnsi="宋体"/>
          <w:color w:val="auto"/>
          <w:sz w:val="24"/>
          <w:highlight w:val="none"/>
        </w:rPr>
        <w:t>投标人</w:t>
      </w:r>
      <w:r>
        <w:rPr>
          <w:rFonts w:hint="eastAsia" w:ascii="宋体" w:hAnsi="宋体"/>
          <w:color w:val="auto"/>
          <w:sz w:val="24"/>
          <w:highlight w:val="none"/>
        </w:rPr>
        <w:t>的澄清、说明或者更正应当按要求进行电子签章。</w:t>
      </w:r>
    </w:p>
    <w:p w14:paraId="6009E68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6.3.4算术更正：</w:t>
      </w:r>
    </w:p>
    <w:p w14:paraId="6D1B721C">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响应文件的大写金额和小写金额不一致的，以大写金额为准；投标总价金额与按分项报价汇总金额不一致的，以分项报价金额计算结果为准；分项报价金额小数点有明显错位的，应以磋商总价为准，并修改分项报价。如果</w:t>
      </w:r>
      <w:r>
        <w:rPr>
          <w:rFonts w:hint="eastAsia" w:hAnsi="宋体"/>
          <w:color w:val="auto"/>
          <w:sz w:val="24"/>
          <w:highlight w:val="none"/>
        </w:rPr>
        <w:t>投标人</w:t>
      </w:r>
      <w:r>
        <w:rPr>
          <w:rFonts w:hint="eastAsia" w:ascii="宋体" w:hAnsi="宋体"/>
          <w:color w:val="auto"/>
          <w:sz w:val="24"/>
          <w:highlight w:val="none"/>
        </w:rPr>
        <w:t>不接受对其算术错误的更正，其响应文件可能被否决。</w:t>
      </w:r>
    </w:p>
    <w:p w14:paraId="3FAE479A">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6.3.5对于响应文件中不构成实质性偏差的不正规、不一致或不规则，磋商小组可以接受，但这种接受不能损害或影响任何</w:t>
      </w:r>
      <w:r>
        <w:rPr>
          <w:rFonts w:hint="eastAsia" w:hAnsi="宋体"/>
          <w:color w:val="auto"/>
          <w:sz w:val="24"/>
          <w:highlight w:val="none"/>
        </w:rPr>
        <w:t>投标人</w:t>
      </w:r>
      <w:r>
        <w:rPr>
          <w:rFonts w:hint="eastAsia" w:ascii="宋体" w:hAnsi="宋体"/>
          <w:color w:val="auto"/>
          <w:sz w:val="24"/>
          <w:highlight w:val="none"/>
        </w:rPr>
        <w:t>的相对排序。</w:t>
      </w:r>
    </w:p>
    <w:p w14:paraId="50D47A6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6.4磋商事项</w:t>
      </w:r>
    </w:p>
    <w:p w14:paraId="10379D3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6.4.1 磋商小组将按照</w:t>
      </w:r>
      <w:r>
        <w:rPr>
          <w:rFonts w:hint="eastAsia" w:hAnsi="宋体"/>
          <w:color w:val="auto"/>
          <w:sz w:val="24"/>
          <w:highlight w:val="none"/>
        </w:rPr>
        <w:t>投标人</w:t>
      </w:r>
      <w:r>
        <w:rPr>
          <w:rFonts w:hint="eastAsia" w:ascii="宋体" w:hAnsi="宋体"/>
          <w:color w:val="auto"/>
          <w:sz w:val="24"/>
          <w:highlight w:val="none"/>
        </w:rPr>
        <w:t>签到的逆顺序分别依次与通过响应文件初审的</w:t>
      </w:r>
      <w:r>
        <w:rPr>
          <w:rFonts w:hint="eastAsia" w:hAnsi="宋体"/>
          <w:color w:val="auto"/>
          <w:sz w:val="24"/>
          <w:highlight w:val="none"/>
        </w:rPr>
        <w:t>投标人</w:t>
      </w:r>
      <w:r>
        <w:rPr>
          <w:rFonts w:hint="eastAsia" w:ascii="宋体" w:hAnsi="宋体"/>
          <w:color w:val="auto"/>
          <w:sz w:val="24"/>
          <w:highlight w:val="none"/>
        </w:rPr>
        <w:t>授权代表进行磋商。磋商内容为价格，磋商小组与</w:t>
      </w:r>
      <w:r>
        <w:rPr>
          <w:rFonts w:hint="eastAsia" w:hAnsi="宋体"/>
          <w:color w:val="auto"/>
          <w:sz w:val="24"/>
          <w:highlight w:val="none"/>
        </w:rPr>
        <w:t>投标人</w:t>
      </w:r>
      <w:r>
        <w:rPr>
          <w:rFonts w:hint="eastAsia" w:ascii="宋体" w:hAnsi="宋体"/>
          <w:color w:val="auto"/>
          <w:sz w:val="24"/>
          <w:highlight w:val="none"/>
        </w:rPr>
        <w:t>授权代表仅能针对除磋商内容和要求中不得偏离部分以外的条款进行磋商。</w:t>
      </w:r>
    </w:p>
    <w:p w14:paraId="0BF498B3">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6.4.2在磋商过程中，磋商小组可以根据磋商文件和磋商情况实质性变动采购需求中的技术、服务要求以及合同草案条款，但不得变动磋商文件中的其他内容。实质性变动的内容，须经采购人代表确认。</w:t>
      </w:r>
    </w:p>
    <w:p w14:paraId="3D7C7C2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6.4.3对磋商文件作出的实质性变动是磋商文件的有效组成部分，磋商小组应当及时在电子交易系统中同时通知所有参加磋商的</w:t>
      </w:r>
      <w:r>
        <w:rPr>
          <w:rFonts w:hint="eastAsia" w:hAnsi="宋体"/>
          <w:color w:val="auto"/>
          <w:sz w:val="24"/>
          <w:highlight w:val="none"/>
        </w:rPr>
        <w:t>投标人</w:t>
      </w:r>
      <w:r>
        <w:rPr>
          <w:rFonts w:hint="eastAsia" w:ascii="宋体" w:hAnsi="宋体"/>
          <w:color w:val="auto"/>
          <w:sz w:val="24"/>
          <w:highlight w:val="none"/>
        </w:rPr>
        <w:t>。</w:t>
      </w:r>
    </w:p>
    <w:p w14:paraId="45F7C75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6.4.4</w:t>
      </w:r>
      <w:r>
        <w:rPr>
          <w:rFonts w:hint="eastAsia" w:hAnsi="宋体"/>
          <w:color w:val="auto"/>
          <w:sz w:val="24"/>
          <w:highlight w:val="none"/>
        </w:rPr>
        <w:t>投标人</w:t>
      </w:r>
      <w:r>
        <w:rPr>
          <w:rFonts w:hint="eastAsia" w:ascii="宋体" w:hAnsi="宋体"/>
          <w:color w:val="auto"/>
          <w:sz w:val="24"/>
          <w:highlight w:val="none"/>
        </w:rPr>
        <w:t>应当按照磋商文件的变动情况和磋商小组的要求重新提交响应文件，并按要求进行电子签章。</w:t>
      </w:r>
    </w:p>
    <w:p w14:paraId="7A61EDA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6.4.5最终报价（即第二次报价）</w:t>
      </w:r>
    </w:p>
    <w:p w14:paraId="42CC392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磋商文件能够详细列明采购标的的技术、服务要求的，磋商结束后，磋商小组应当要求所有实质性响应的</w:t>
      </w:r>
      <w:r>
        <w:rPr>
          <w:rFonts w:hint="eastAsia" w:hAnsi="宋体"/>
          <w:color w:val="auto"/>
          <w:sz w:val="24"/>
          <w:highlight w:val="none"/>
        </w:rPr>
        <w:t>投标人</w:t>
      </w:r>
      <w:r>
        <w:rPr>
          <w:rFonts w:hint="eastAsia" w:ascii="宋体" w:hAnsi="宋体"/>
          <w:color w:val="auto"/>
          <w:sz w:val="24"/>
          <w:highlight w:val="none"/>
        </w:rPr>
        <w:t>在规定时间内按提交最后报价，提交最后报价的</w:t>
      </w:r>
      <w:r>
        <w:rPr>
          <w:rFonts w:hint="eastAsia" w:hAnsi="宋体"/>
          <w:color w:val="auto"/>
          <w:sz w:val="24"/>
          <w:highlight w:val="none"/>
        </w:rPr>
        <w:t>投标人</w:t>
      </w:r>
      <w:r>
        <w:rPr>
          <w:rFonts w:hint="eastAsia" w:ascii="宋体" w:hAnsi="宋体"/>
          <w:color w:val="auto"/>
          <w:sz w:val="24"/>
          <w:highlight w:val="none"/>
        </w:rPr>
        <w:t>不得少于3家。</w:t>
      </w:r>
    </w:p>
    <w:p w14:paraId="7BCD6E3E">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磋商文件不能详细列明采购标的的技术、服务要求，需经磋商由</w:t>
      </w:r>
      <w:r>
        <w:rPr>
          <w:rFonts w:hint="eastAsia" w:hAnsi="宋体"/>
          <w:color w:val="auto"/>
          <w:sz w:val="24"/>
          <w:highlight w:val="none"/>
        </w:rPr>
        <w:t>投标人</w:t>
      </w:r>
      <w:r>
        <w:rPr>
          <w:rFonts w:hint="eastAsia" w:ascii="宋体" w:hAnsi="宋体"/>
          <w:color w:val="auto"/>
          <w:sz w:val="24"/>
          <w:highlight w:val="none"/>
        </w:rPr>
        <w:t>提供最终服务方案或解决方案的，磋商结束后，磋商小组应当按照少数服从多数的原则投票推荐 3 家以上</w:t>
      </w:r>
      <w:r>
        <w:rPr>
          <w:rFonts w:hint="eastAsia" w:hAnsi="宋体"/>
          <w:color w:val="auto"/>
          <w:sz w:val="24"/>
          <w:highlight w:val="none"/>
        </w:rPr>
        <w:t>投标人</w:t>
      </w:r>
      <w:r>
        <w:rPr>
          <w:rFonts w:hint="eastAsia" w:ascii="宋体" w:hAnsi="宋体"/>
          <w:color w:val="auto"/>
          <w:sz w:val="24"/>
          <w:highlight w:val="none"/>
        </w:rPr>
        <w:t>的服务方案或者解决方案，并要求其在规定时间内提交最后报价。</w:t>
      </w:r>
    </w:p>
    <w:p w14:paraId="21A9320D">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如磋商小组一致认为</w:t>
      </w:r>
      <w:r>
        <w:rPr>
          <w:rFonts w:hint="eastAsia" w:hAnsi="宋体"/>
          <w:color w:val="auto"/>
          <w:sz w:val="24"/>
          <w:highlight w:val="none"/>
        </w:rPr>
        <w:t>投标人</w:t>
      </w:r>
      <w:r>
        <w:rPr>
          <w:rFonts w:hint="eastAsia" w:ascii="宋体" w:hAnsi="宋体"/>
          <w:color w:val="auto"/>
          <w:sz w:val="24"/>
          <w:highlight w:val="none"/>
        </w:rPr>
        <w:t>最后报价明显不合理，有降低质量、不能诚信履约的可能时，磋商小组有权通知</w:t>
      </w:r>
      <w:r>
        <w:rPr>
          <w:rFonts w:hint="eastAsia" w:hAnsi="宋体"/>
          <w:color w:val="auto"/>
          <w:sz w:val="24"/>
          <w:highlight w:val="none"/>
        </w:rPr>
        <w:t>投标人</w:t>
      </w:r>
      <w:r>
        <w:rPr>
          <w:rFonts w:hint="eastAsia" w:ascii="宋体" w:hAnsi="宋体"/>
          <w:color w:val="auto"/>
          <w:sz w:val="24"/>
          <w:highlight w:val="none"/>
        </w:rPr>
        <w:t>进行解释。如</w:t>
      </w:r>
      <w:r>
        <w:rPr>
          <w:rFonts w:hint="eastAsia" w:hAnsi="宋体"/>
          <w:color w:val="auto"/>
          <w:sz w:val="24"/>
          <w:highlight w:val="none"/>
        </w:rPr>
        <w:t>投标人</w:t>
      </w:r>
      <w:r>
        <w:rPr>
          <w:rFonts w:hint="eastAsia" w:ascii="宋体" w:hAnsi="宋体"/>
          <w:color w:val="auto"/>
          <w:sz w:val="24"/>
          <w:highlight w:val="none"/>
        </w:rPr>
        <w:t>未能在规定期限内作出解释，或所作解释不合理，经磋商小组取得一致意见后，将对该</w:t>
      </w:r>
      <w:r>
        <w:rPr>
          <w:rFonts w:hint="eastAsia" w:hAnsi="宋体"/>
          <w:color w:val="auto"/>
          <w:sz w:val="24"/>
          <w:highlight w:val="none"/>
        </w:rPr>
        <w:t>投标人</w:t>
      </w:r>
      <w:r>
        <w:rPr>
          <w:rFonts w:hint="eastAsia" w:ascii="宋体" w:hAnsi="宋体"/>
          <w:color w:val="auto"/>
          <w:sz w:val="24"/>
          <w:highlight w:val="none"/>
        </w:rPr>
        <w:t>不予推荐。</w:t>
      </w:r>
    </w:p>
    <w:p w14:paraId="731DEDD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最终报价是</w:t>
      </w:r>
      <w:r>
        <w:rPr>
          <w:rFonts w:hint="eastAsia" w:hAnsi="宋体"/>
          <w:color w:val="auto"/>
          <w:sz w:val="24"/>
          <w:highlight w:val="none"/>
        </w:rPr>
        <w:t>投标人</w:t>
      </w:r>
      <w:r>
        <w:rPr>
          <w:rFonts w:hint="eastAsia" w:ascii="宋体" w:hAnsi="宋体"/>
          <w:color w:val="auto"/>
          <w:sz w:val="24"/>
          <w:highlight w:val="none"/>
        </w:rPr>
        <w:t>响应文件的有效组成部分。依据《政府采购竞争性磋商采购方式管理暂行办法》（财库〔2014〕214号）及财政部关于政府采购竞争性磋商采购方式管理暂行办法有关问题的补充通知（财库〔2015〕124号）相关规定，符合《政府采购竞争性磋商采购方式管理暂行办法》（财库〔2014〕214号）第三条（一）政府购买服务项目（含政府和社会资本合作项目）、（四）市场竞争不充分的科研项目以及需要扶持的科技成果转化项目情形的，提交最后报价的</w:t>
      </w:r>
      <w:r>
        <w:rPr>
          <w:rFonts w:hint="eastAsia" w:hAnsi="宋体"/>
          <w:color w:val="auto"/>
          <w:sz w:val="24"/>
          <w:highlight w:val="none"/>
        </w:rPr>
        <w:t>投标人</w:t>
      </w:r>
      <w:r>
        <w:rPr>
          <w:rFonts w:hint="eastAsia" w:ascii="宋体" w:hAnsi="宋体"/>
          <w:color w:val="auto"/>
          <w:sz w:val="24"/>
          <w:highlight w:val="none"/>
        </w:rPr>
        <w:t>可以为2家。</w:t>
      </w:r>
    </w:p>
    <w:p w14:paraId="22316757">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注：财政部关于政府采购竞争性磋商采购方式管理暂行办法有关问题的补充通知（财库〔2015〕124 号）相关规定：政府购买服务项目（含政府和社会资本合作项目），在采购过程中符合要求的</w:t>
      </w:r>
      <w:r>
        <w:rPr>
          <w:rFonts w:hint="eastAsia" w:hAnsi="宋体"/>
          <w:color w:val="auto"/>
          <w:sz w:val="24"/>
          <w:highlight w:val="none"/>
        </w:rPr>
        <w:t>投标人</w:t>
      </w:r>
      <w:r>
        <w:rPr>
          <w:rFonts w:hint="eastAsia" w:ascii="宋体" w:hAnsi="宋体"/>
          <w:color w:val="auto"/>
          <w:sz w:val="24"/>
          <w:highlight w:val="none"/>
        </w:rPr>
        <w:t>（社会资本）只有2家的，竞争性磋商采购活动可以继续进行。采购过程中符合要求的</w:t>
      </w:r>
      <w:r>
        <w:rPr>
          <w:rFonts w:hint="eastAsia" w:hAnsi="宋体"/>
          <w:color w:val="auto"/>
          <w:sz w:val="24"/>
          <w:highlight w:val="none"/>
        </w:rPr>
        <w:t>投标人</w:t>
      </w:r>
      <w:r>
        <w:rPr>
          <w:rFonts w:hint="eastAsia" w:ascii="宋体" w:hAnsi="宋体"/>
          <w:color w:val="auto"/>
          <w:sz w:val="24"/>
          <w:highlight w:val="none"/>
        </w:rPr>
        <w:t>（社会资本）只有1家的，采购人（项目实施机构）或者采购代理机构应当终止竞争性磋商采购活动，发布项目终止公告并说明原因，重新开展采购活动。</w:t>
      </w:r>
    </w:p>
    <w:p w14:paraId="53AFE22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6.5 比较与评价</w:t>
      </w:r>
    </w:p>
    <w:p w14:paraId="2E9AFAB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经磋商确定最终采购需求和提交最后报价的</w:t>
      </w:r>
      <w:r>
        <w:rPr>
          <w:rFonts w:hint="eastAsia" w:hAnsi="宋体"/>
          <w:color w:val="auto"/>
          <w:sz w:val="24"/>
          <w:highlight w:val="none"/>
        </w:rPr>
        <w:t>投标人</w:t>
      </w:r>
      <w:r>
        <w:rPr>
          <w:rFonts w:hint="eastAsia" w:ascii="宋体" w:hAnsi="宋体"/>
          <w:color w:val="auto"/>
          <w:sz w:val="24"/>
          <w:highlight w:val="none"/>
        </w:rPr>
        <w:t>后，由磋商小组采用综合评分法对提交最后报价的</w:t>
      </w:r>
      <w:r>
        <w:rPr>
          <w:rFonts w:hint="eastAsia" w:hAnsi="宋体"/>
          <w:color w:val="auto"/>
          <w:sz w:val="24"/>
          <w:highlight w:val="none"/>
        </w:rPr>
        <w:t>投标人</w:t>
      </w:r>
      <w:r>
        <w:rPr>
          <w:rFonts w:hint="eastAsia" w:ascii="宋体" w:hAnsi="宋体"/>
          <w:color w:val="auto"/>
          <w:sz w:val="24"/>
          <w:highlight w:val="none"/>
        </w:rPr>
        <w:t>的响应文件和最后报价进行综合评分。</w:t>
      </w:r>
    </w:p>
    <w:p w14:paraId="48B24B38">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 推荐成交候选</w:t>
      </w:r>
      <w:r>
        <w:rPr>
          <w:rFonts w:hint="eastAsia" w:hAnsi="宋体"/>
          <w:color w:val="auto"/>
          <w:sz w:val="24"/>
          <w:highlight w:val="none"/>
        </w:rPr>
        <w:t>投标人</w:t>
      </w:r>
      <w:r>
        <w:rPr>
          <w:rFonts w:hint="eastAsia" w:ascii="宋体" w:hAnsi="宋体"/>
          <w:color w:val="auto"/>
          <w:sz w:val="24"/>
          <w:highlight w:val="none"/>
        </w:rPr>
        <w:t>名单</w:t>
      </w:r>
    </w:p>
    <w:p w14:paraId="46D03F3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6.6.1磋商小组将根据综合评分情况，按照评审得分由高到低顺序推荐 3 名成交候选</w:t>
      </w:r>
      <w:r>
        <w:rPr>
          <w:rFonts w:hint="eastAsia" w:hAnsi="宋体"/>
          <w:color w:val="auto"/>
          <w:sz w:val="24"/>
          <w:highlight w:val="none"/>
        </w:rPr>
        <w:t>投标人</w:t>
      </w:r>
      <w:r>
        <w:rPr>
          <w:rFonts w:hint="eastAsia" w:ascii="宋体" w:hAnsi="宋体"/>
          <w:color w:val="auto"/>
          <w:sz w:val="24"/>
          <w:highlight w:val="none"/>
        </w:rPr>
        <w:t>，并编写评审报告。符合本须知第 6.3.5 项第三款情况的，可以推荐 2 家成交候选</w:t>
      </w:r>
      <w:r>
        <w:rPr>
          <w:rFonts w:hint="eastAsia" w:hAnsi="宋体"/>
          <w:color w:val="auto"/>
          <w:sz w:val="24"/>
          <w:highlight w:val="none"/>
        </w:rPr>
        <w:t>投标人</w:t>
      </w:r>
      <w:r>
        <w:rPr>
          <w:rFonts w:hint="eastAsia" w:ascii="宋体" w:hAnsi="宋体"/>
          <w:color w:val="auto"/>
          <w:sz w:val="24"/>
          <w:highlight w:val="none"/>
        </w:rPr>
        <w:t>。评审得分相同的，按照最后报价由低到高的顺序推荐。评审得分且最后报价相同的，按照技术指标优劣顺序推荐。</w:t>
      </w:r>
    </w:p>
    <w:p w14:paraId="377C418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6.6.2评审报告将由磋商小组全体人员签字认可。磋商小组成员对评审报告有异议的，磋商小组按照少数服从多数的原则推荐成交候选</w:t>
      </w:r>
      <w:r>
        <w:rPr>
          <w:rFonts w:hint="eastAsia" w:hAnsi="宋体"/>
          <w:color w:val="auto"/>
          <w:sz w:val="24"/>
          <w:highlight w:val="none"/>
        </w:rPr>
        <w:t>投标人</w:t>
      </w:r>
      <w:r>
        <w:rPr>
          <w:rFonts w:hint="eastAsia" w:ascii="宋体" w:hAnsi="宋体"/>
          <w:color w:val="auto"/>
          <w:sz w:val="24"/>
          <w:highlight w:val="none"/>
        </w:rPr>
        <w:t>，采购程序继续进行。对评审报告有异议的磋商小组成员，应当在报告上签署不同意见并说明理由。磋商小组成员拒绝在报告上签字又不说明其不同意见和理由的，视为同意评审报告。</w:t>
      </w:r>
    </w:p>
    <w:p w14:paraId="2B1C56D5">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7. 合同授予</w:t>
      </w:r>
    </w:p>
    <w:p w14:paraId="1C0837B0">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7.1 采购人与成交</w:t>
      </w:r>
      <w:r>
        <w:rPr>
          <w:rFonts w:hint="eastAsia" w:hAnsi="宋体"/>
          <w:color w:val="auto"/>
          <w:sz w:val="24"/>
          <w:highlight w:val="none"/>
        </w:rPr>
        <w:t>供应商</w:t>
      </w:r>
      <w:r>
        <w:rPr>
          <w:rFonts w:hint="eastAsia" w:ascii="宋体" w:hAnsi="宋体"/>
          <w:color w:val="auto"/>
          <w:sz w:val="24"/>
          <w:highlight w:val="none"/>
        </w:rPr>
        <w:t>应当在成交通知书发出之日起 30天内，按照磋商文件确定的合同文本以及采购标的、采购金额、采购数量、技术和服务要求等事项签订政府采购合同。</w:t>
      </w:r>
    </w:p>
    <w:p w14:paraId="78A0466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7.2 采购人不得向成交</w:t>
      </w:r>
      <w:r>
        <w:rPr>
          <w:rFonts w:hint="eastAsia" w:hAnsi="宋体"/>
          <w:color w:val="auto"/>
          <w:sz w:val="24"/>
          <w:highlight w:val="none"/>
        </w:rPr>
        <w:t>人</w:t>
      </w:r>
      <w:r>
        <w:rPr>
          <w:rFonts w:hint="eastAsia" w:ascii="宋体" w:hAnsi="宋体"/>
          <w:color w:val="auto"/>
          <w:sz w:val="24"/>
          <w:highlight w:val="none"/>
        </w:rPr>
        <w:t>提出超出磋商文件以外的任何要求作为签订合同的条件，不得与成交</w:t>
      </w:r>
      <w:r>
        <w:rPr>
          <w:rFonts w:hint="eastAsia" w:hAnsi="宋体"/>
          <w:color w:val="auto"/>
          <w:sz w:val="24"/>
          <w:highlight w:val="none"/>
        </w:rPr>
        <w:t>人</w:t>
      </w:r>
      <w:r>
        <w:rPr>
          <w:rFonts w:hint="eastAsia" w:ascii="宋体" w:hAnsi="宋体"/>
          <w:color w:val="auto"/>
          <w:sz w:val="24"/>
          <w:highlight w:val="none"/>
        </w:rPr>
        <w:t>订立背离磋商文件确定的合同文本以及采购标的、规格型号、采购金额、采购数量、技术和服务要求等实质性内容的协议。</w:t>
      </w:r>
    </w:p>
    <w:p w14:paraId="04C93033">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7.3 </w:t>
      </w:r>
      <w:r>
        <w:rPr>
          <w:color w:val="auto"/>
          <w:sz w:val="24"/>
          <w:highlight w:val="none"/>
        </w:rPr>
        <w:t>发出</w:t>
      </w:r>
      <w:r>
        <w:rPr>
          <w:rFonts w:hint="eastAsia"/>
          <w:color w:val="auto"/>
          <w:sz w:val="24"/>
          <w:highlight w:val="none"/>
        </w:rPr>
        <w:t>成交</w:t>
      </w:r>
      <w:r>
        <w:rPr>
          <w:color w:val="auto"/>
          <w:sz w:val="24"/>
          <w:highlight w:val="none"/>
        </w:rPr>
        <w:t>通知书后，</w:t>
      </w:r>
      <w:r>
        <w:rPr>
          <w:rFonts w:hint="eastAsia" w:ascii="宋体" w:hAnsi="宋体"/>
          <w:color w:val="auto"/>
          <w:sz w:val="24"/>
          <w:highlight w:val="none"/>
        </w:rPr>
        <w:t>除不可抗力等因素外，采购人改变成交结果，或者成交供应商拒绝签订政府采购合同的，应当承担相应的法律责任。采购人可以按照相关法律法规规定的原则确定其他</w:t>
      </w:r>
      <w:r>
        <w:rPr>
          <w:rFonts w:hint="eastAsia" w:hAnsi="宋体"/>
          <w:color w:val="auto"/>
          <w:sz w:val="24"/>
          <w:highlight w:val="none"/>
        </w:rPr>
        <w:t>投标人</w:t>
      </w:r>
      <w:r>
        <w:rPr>
          <w:rFonts w:hint="eastAsia" w:ascii="宋体" w:hAnsi="宋体"/>
          <w:color w:val="auto"/>
          <w:sz w:val="24"/>
          <w:highlight w:val="none"/>
        </w:rPr>
        <w:t>作为成交</w:t>
      </w:r>
      <w:r>
        <w:rPr>
          <w:rFonts w:hint="eastAsia" w:hAnsi="宋体"/>
          <w:color w:val="auto"/>
          <w:sz w:val="24"/>
          <w:highlight w:val="none"/>
        </w:rPr>
        <w:t>人</w:t>
      </w:r>
      <w:r>
        <w:rPr>
          <w:rFonts w:hint="eastAsia" w:ascii="宋体" w:hAnsi="宋体"/>
          <w:color w:val="auto"/>
          <w:sz w:val="24"/>
          <w:highlight w:val="none"/>
        </w:rPr>
        <w:t>并签订政府采购合同，也可以重新开展采购活动。拒绝签订政府采购合同的成交</w:t>
      </w:r>
      <w:r>
        <w:rPr>
          <w:rFonts w:hint="eastAsia" w:hAnsi="宋体"/>
          <w:color w:val="auto"/>
          <w:sz w:val="24"/>
          <w:highlight w:val="none"/>
        </w:rPr>
        <w:t>人</w:t>
      </w:r>
      <w:r>
        <w:rPr>
          <w:rFonts w:hint="eastAsia" w:ascii="宋体" w:hAnsi="宋体"/>
          <w:color w:val="auto"/>
          <w:sz w:val="24"/>
          <w:highlight w:val="none"/>
        </w:rPr>
        <w:t>不得参加对该项目重新开展的采购活动。</w:t>
      </w:r>
    </w:p>
    <w:p w14:paraId="4B58B59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7.4 出现下列情形之一的，采购人或者采购代理机构应当终止竞争性磋商采购活动，发布项目终止公告并说明原因，重新开展采购活动：</w:t>
      </w:r>
    </w:p>
    <w:p w14:paraId="53F0A47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（1）因情况变化，不再符合规定的竞争性磋商采购方式适用情形的；</w:t>
      </w:r>
    </w:p>
    <w:p w14:paraId="7F76A508">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（2）出现影响采购公正的违法、违规行为的；</w:t>
      </w:r>
    </w:p>
    <w:p w14:paraId="1DCF3C7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除本符合《政府采购竞争性磋商采购方式管理暂行办法》第三条（四）市场竞争不充分的科研项目以及需要扶持的科技成果转化项目和《财政部关于政府采购竞争性磋商采购方式管理暂行办法有关问题的补充通知》财库〔2015〕124 号规定的情形外，在采购过程中符合要求的</w:t>
      </w:r>
      <w:r>
        <w:rPr>
          <w:rFonts w:hint="eastAsia" w:hAnsi="宋体"/>
          <w:color w:val="auto"/>
          <w:sz w:val="24"/>
          <w:highlight w:val="none"/>
        </w:rPr>
        <w:t>投标人</w:t>
      </w:r>
      <w:r>
        <w:rPr>
          <w:rFonts w:hint="eastAsia" w:ascii="宋体" w:hAnsi="宋体"/>
          <w:color w:val="auto"/>
          <w:sz w:val="24"/>
          <w:highlight w:val="none"/>
        </w:rPr>
        <w:t>或者报价未超过采购预算的</w:t>
      </w:r>
      <w:r>
        <w:rPr>
          <w:rFonts w:hint="eastAsia" w:hAnsi="宋体"/>
          <w:color w:val="auto"/>
          <w:sz w:val="24"/>
          <w:highlight w:val="none"/>
        </w:rPr>
        <w:t>投标人</w:t>
      </w:r>
      <w:r>
        <w:rPr>
          <w:rFonts w:hint="eastAsia" w:ascii="宋体" w:hAnsi="宋体"/>
          <w:color w:val="auto"/>
          <w:sz w:val="24"/>
          <w:highlight w:val="none"/>
        </w:rPr>
        <w:t>不足 3 家的。</w:t>
      </w:r>
    </w:p>
    <w:p w14:paraId="110B902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7.5 在采购活动中因重大变故，采购任务取消的，采购人或者采购代理机构应当终止采购活动，通知所有参加采购活动的</w:t>
      </w:r>
      <w:r>
        <w:rPr>
          <w:rFonts w:hint="eastAsia" w:hAnsi="宋体"/>
          <w:color w:val="auto"/>
          <w:sz w:val="24"/>
          <w:highlight w:val="none"/>
        </w:rPr>
        <w:t>投标人</w:t>
      </w:r>
      <w:r>
        <w:rPr>
          <w:rFonts w:hint="eastAsia" w:ascii="宋体" w:hAnsi="宋体"/>
          <w:color w:val="auto"/>
          <w:sz w:val="24"/>
          <w:highlight w:val="none"/>
        </w:rPr>
        <w:t>，并将项目实施情况和采购任务取消原因报送本级财政部门。</w:t>
      </w:r>
    </w:p>
    <w:p w14:paraId="04054022">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8. 纪律和监督</w:t>
      </w:r>
    </w:p>
    <w:p w14:paraId="177D4E7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8.1 采购人、采购代理机构应当按照政府采购法和本办法的规定组织开展竞争性磋商，并采取必要措施，保证磋商在严格保密的情况下进行。任何单位和个人不得非法干预、影响磋商过程和结果。</w:t>
      </w:r>
    </w:p>
    <w:p w14:paraId="1B93DC4A">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8.2 参与磋商活动的</w:t>
      </w:r>
      <w:r>
        <w:rPr>
          <w:rFonts w:hint="eastAsia" w:hAnsi="宋体"/>
          <w:color w:val="auto"/>
          <w:sz w:val="24"/>
          <w:highlight w:val="none"/>
        </w:rPr>
        <w:t>投标人</w:t>
      </w:r>
      <w:r>
        <w:rPr>
          <w:rFonts w:hint="eastAsia" w:ascii="宋体" w:hAnsi="宋体"/>
          <w:color w:val="auto"/>
          <w:sz w:val="24"/>
          <w:highlight w:val="none"/>
        </w:rPr>
        <w:t>应对磋商文件和响应文件中的涉及国家秘密和商业秘密进行保密，未经采购人同意不得扩散，否则承担相关法律责任。</w:t>
      </w:r>
    </w:p>
    <w:p w14:paraId="06BFD86F">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8.3 评审专家应当遵守评审工作纪律，不得泄露评审情况和评审中获悉的商业秘密。磋商小组在评审过程中发现</w:t>
      </w:r>
      <w:r>
        <w:rPr>
          <w:rFonts w:hint="eastAsia" w:hAnsi="宋体"/>
          <w:color w:val="auto"/>
          <w:sz w:val="24"/>
          <w:highlight w:val="none"/>
        </w:rPr>
        <w:t>投标人</w:t>
      </w:r>
      <w:r>
        <w:rPr>
          <w:rFonts w:hint="eastAsia" w:ascii="宋体" w:hAnsi="宋体"/>
          <w:color w:val="auto"/>
          <w:sz w:val="24"/>
          <w:highlight w:val="none"/>
        </w:rPr>
        <w:t>有行贿、提供虚假材料或者串通等违法行为的，应当及时向财政部门报告。评审专家在评审过程中受到非法干涉的，应当及时向财政、监察等部门举报。</w:t>
      </w:r>
    </w:p>
    <w:p w14:paraId="6F33C9E1">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9. 质疑投诉</w:t>
      </w:r>
    </w:p>
    <w:p w14:paraId="3DC9E3AB">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9.1 </w:t>
      </w:r>
      <w:r>
        <w:rPr>
          <w:rFonts w:hint="eastAsia" w:hAnsi="宋体"/>
          <w:color w:val="auto"/>
          <w:sz w:val="24"/>
          <w:highlight w:val="none"/>
        </w:rPr>
        <w:t>供应商</w:t>
      </w:r>
      <w:r>
        <w:rPr>
          <w:rFonts w:hint="eastAsia" w:ascii="宋体" w:hAnsi="宋体"/>
          <w:color w:val="auto"/>
          <w:sz w:val="24"/>
          <w:highlight w:val="none"/>
        </w:rPr>
        <w:t>认为本次采购活动的竞争性磋商文件、采购过程和成交结果使自己的权益受到损害的，有权按规定的程序在知道或应知其权益受到损害之日起七个工作日内实名向采购人、采购代理机构提出书面质疑；</w:t>
      </w:r>
    </w:p>
    <w:p w14:paraId="173D2569">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9.2 对采购人、采购代理机构的答复不满意或者采购人、采购代理机构未在规定的时间内作出答复的，可以在答复期满后 15 个工作日内实名向（项目所属）同级政府采购监督管理部门投诉。</w:t>
      </w:r>
    </w:p>
    <w:p w14:paraId="6E78CAD4">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9.3 质疑和投诉应有具体的质疑（投诉）事项和必要的证明材料或事实根据，</w:t>
      </w:r>
      <w:r>
        <w:rPr>
          <w:rFonts w:hint="eastAsia" w:hAnsi="宋体"/>
          <w:color w:val="auto"/>
          <w:sz w:val="24"/>
          <w:highlight w:val="none"/>
        </w:rPr>
        <w:t>供应商</w:t>
      </w:r>
      <w:r>
        <w:rPr>
          <w:rFonts w:hint="eastAsia" w:ascii="宋体" w:hAnsi="宋体"/>
          <w:color w:val="auto"/>
          <w:sz w:val="24"/>
          <w:highlight w:val="none"/>
        </w:rPr>
        <w:t>对其质疑和投诉内容的真实性及其来源的合法性承担法律责任。</w:t>
      </w:r>
    </w:p>
    <w:p w14:paraId="550A4224">
      <w:pPr>
        <w:widowControl/>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10. 需要补充的其他内容</w:t>
      </w:r>
    </w:p>
    <w:p w14:paraId="743F05D6">
      <w:pPr>
        <w:widowControl/>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详见</w:t>
      </w:r>
      <w:r>
        <w:rPr>
          <w:rFonts w:hint="eastAsia" w:hAnsi="宋体"/>
          <w:color w:val="auto"/>
          <w:sz w:val="24"/>
          <w:highlight w:val="none"/>
        </w:rPr>
        <w:t>投标人</w:t>
      </w:r>
      <w:r>
        <w:rPr>
          <w:rFonts w:hint="eastAsia" w:ascii="宋体" w:hAnsi="宋体"/>
          <w:color w:val="auto"/>
          <w:sz w:val="24"/>
          <w:highlight w:val="none"/>
        </w:rPr>
        <w:t>须知前附表。</w:t>
      </w:r>
    </w:p>
    <w:p w14:paraId="18B224F0">
      <w:pPr>
        <w:pStyle w:val="20"/>
        <w:keepNext w:val="0"/>
        <w:keepLines w:val="0"/>
        <w:pageBreakBefore w:val="0"/>
        <w:spacing w:line="520" w:lineRule="exact"/>
        <w:jc w:val="both"/>
        <w:rPr>
          <w:rFonts w:hint="eastAsia" w:ascii="宋体" w:hAnsi="宋体"/>
          <w:bCs w:val="0"/>
          <w:color w:val="auto"/>
          <w:sz w:val="24"/>
          <w:szCs w:val="24"/>
          <w:highlight w:val="none"/>
        </w:rPr>
      </w:pPr>
    </w:p>
    <w:p w14:paraId="6B49C447">
      <w:pPr>
        <w:pStyle w:val="20"/>
        <w:keepNext w:val="0"/>
        <w:keepLines w:val="0"/>
        <w:pageBreakBefore w:val="0"/>
        <w:spacing w:before="0" w:after="0" w:line="240" w:lineRule="auto"/>
        <w:jc w:val="both"/>
        <w:rPr>
          <w:rFonts w:hint="eastAsia" w:ascii="宋体" w:hAnsi="宋体"/>
          <w:bCs w:val="0"/>
          <w:color w:val="auto"/>
          <w:sz w:val="24"/>
          <w:szCs w:val="24"/>
          <w:highlight w:val="none"/>
        </w:rPr>
      </w:pPr>
      <w:r>
        <w:rPr>
          <w:rFonts w:hint="eastAsia" w:ascii="宋体" w:hAnsi="宋体"/>
          <w:bCs w:val="0"/>
          <w:color w:val="auto"/>
          <w:sz w:val="24"/>
          <w:szCs w:val="24"/>
          <w:highlight w:val="none"/>
        </w:rPr>
        <w:br w:type="page"/>
      </w:r>
    </w:p>
    <w:p w14:paraId="0F38CDB0">
      <w:pPr>
        <w:pStyle w:val="20"/>
        <w:keepNext w:val="0"/>
        <w:keepLines w:val="0"/>
        <w:pageBreakBefore w:val="0"/>
        <w:spacing w:before="0" w:after="0" w:line="240" w:lineRule="auto"/>
        <w:rPr>
          <w:rFonts w:hint="eastAsia" w:ascii="宋体" w:hAnsi="宋体"/>
          <w:bCs w:val="0"/>
          <w:color w:val="auto"/>
          <w:sz w:val="24"/>
          <w:szCs w:val="24"/>
          <w:highlight w:val="none"/>
        </w:rPr>
      </w:pPr>
      <w:r>
        <w:rPr>
          <w:rFonts w:hint="eastAsia" w:ascii="宋体" w:hAnsi="宋体"/>
          <w:bCs w:val="0"/>
          <w:color w:val="auto"/>
          <w:sz w:val="24"/>
          <w:szCs w:val="24"/>
          <w:highlight w:val="none"/>
        </w:rPr>
        <w:t xml:space="preserve">第三章  </w:t>
      </w:r>
      <w:r>
        <w:rPr>
          <w:rStyle w:val="27"/>
          <w:rFonts w:hint="eastAsia" w:ascii="宋体" w:hAnsi="宋体"/>
          <w:b w:val="0"/>
          <w:bCs w:val="0"/>
          <w:color w:val="auto"/>
          <w:sz w:val="24"/>
          <w:szCs w:val="24"/>
          <w:highlight w:val="none"/>
        </w:rPr>
        <w:t>磋商办法（综合评分法）</w:t>
      </w:r>
    </w:p>
    <w:tbl>
      <w:tblPr>
        <w:tblStyle w:val="8"/>
        <w:tblpPr w:leftFromText="180" w:rightFromText="180" w:vertAnchor="text" w:horzAnchor="page" w:tblpX="986" w:tblpY="614"/>
        <w:tblOverlap w:val="never"/>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1049"/>
        <w:gridCol w:w="2092"/>
        <w:gridCol w:w="5682"/>
      </w:tblGrid>
      <w:tr w14:paraId="23D1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2066" w:type="dxa"/>
            <w:gridSpan w:val="2"/>
            <w:tcBorders>
              <w:top w:val="single" w:color="auto" w:sz="4" w:space="0"/>
              <w:left w:val="single" w:color="auto" w:sz="4" w:space="0"/>
              <w:bottom w:val="single" w:color="auto" w:sz="4" w:space="0"/>
              <w:right w:val="single" w:color="auto" w:sz="4" w:space="0"/>
            </w:tcBorders>
            <w:vAlign w:val="top"/>
          </w:tcPr>
          <w:p w14:paraId="59433C87">
            <w:pPr>
              <w:spacing w:line="520" w:lineRule="exact"/>
              <w:jc w:val="center"/>
              <w:rPr>
                <w:rFonts w:ascii="宋体" w:hAnsi="宋体" w:eastAsia="宋体"/>
                <w:color w:val="auto"/>
                <w:sz w:val="24"/>
                <w:highlight w:val="none"/>
              </w:rPr>
            </w:pPr>
            <w:r>
              <w:rPr>
                <w:rFonts w:ascii="宋体" w:hAnsi="宋体" w:eastAsia="宋体"/>
                <w:color w:val="auto"/>
                <w:sz w:val="24"/>
                <w:highlight w:val="none"/>
              </w:rPr>
              <w:t>条款号</w:t>
            </w:r>
          </w:p>
        </w:tc>
        <w:tc>
          <w:tcPr>
            <w:tcW w:w="2092" w:type="dxa"/>
            <w:tcBorders>
              <w:top w:val="single" w:color="auto" w:sz="4" w:space="0"/>
              <w:left w:val="single" w:color="auto" w:sz="4" w:space="0"/>
              <w:bottom w:val="single" w:color="auto" w:sz="4" w:space="0"/>
              <w:right w:val="single" w:color="auto" w:sz="4" w:space="0"/>
            </w:tcBorders>
            <w:vAlign w:val="top"/>
          </w:tcPr>
          <w:p w14:paraId="74439E9C">
            <w:pPr>
              <w:spacing w:line="520" w:lineRule="exact"/>
              <w:jc w:val="center"/>
              <w:rPr>
                <w:rFonts w:ascii="宋体" w:hAnsi="宋体" w:eastAsia="宋体"/>
                <w:color w:val="auto"/>
                <w:sz w:val="24"/>
                <w:highlight w:val="none"/>
              </w:rPr>
            </w:pPr>
            <w:r>
              <w:rPr>
                <w:rFonts w:ascii="宋体" w:hAnsi="宋体" w:eastAsia="宋体"/>
                <w:color w:val="auto"/>
                <w:sz w:val="24"/>
                <w:highlight w:val="none"/>
              </w:rPr>
              <w:t>评审因素</w:t>
            </w:r>
          </w:p>
        </w:tc>
        <w:tc>
          <w:tcPr>
            <w:tcW w:w="5682" w:type="dxa"/>
            <w:tcBorders>
              <w:top w:val="single" w:color="auto" w:sz="4" w:space="0"/>
              <w:left w:val="single" w:color="auto" w:sz="4" w:space="0"/>
              <w:bottom w:val="single" w:color="auto" w:sz="4" w:space="0"/>
              <w:right w:val="single" w:color="auto" w:sz="4" w:space="0"/>
            </w:tcBorders>
            <w:vAlign w:val="top"/>
          </w:tcPr>
          <w:p w14:paraId="3AEBA74C">
            <w:pPr>
              <w:spacing w:line="520" w:lineRule="exact"/>
              <w:ind w:firstLine="240" w:firstLineChars="100"/>
              <w:jc w:val="center"/>
              <w:rPr>
                <w:rFonts w:ascii="宋体" w:hAnsi="宋体" w:eastAsia="宋体"/>
                <w:color w:val="auto"/>
                <w:sz w:val="24"/>
                <w:highlight w:val="none"/>
              </w:rPr>
            </w:pPr>
            <w:r>
              <w:rPr>
                <w:rFonts w:ascii="宋体" w:hAnsi="宋体" w:eastAsia="宋体"/>
                <w:color w:val="auto"/>
                <w:sz w:val="24"/>
                <w:highlight w:val="none"/>
              </w:rPr>
              <w:t>评审标准</w:t>
            </w:r>
          </w:p>
        </w:tc>
      </w:tr>
      <w:tr w14:paraId="7CEF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017" w:type="dxa"/>
            <w:vMerge w:val="restart"/>
            <w:tcBorders>
              <w:top w:val="single" w:color="auto" w:sz="4" w:space="0"/>
              <w:left w:val="single" w:color="auto" w:sz="4" w:space="0"/>
              <w:right w:val="single" w:color="auto" w:sz="4" w:space="0"/>
            </w:tcBorders>
            <w:vAlign w:val="center"/>
          </w:tcPr>
          <w:p w14:paraId="5B32759D">
            <w:pPr>
              <w:spacing w:line="520" w:lineRule="exact"/>
              <w:jc w:val="center"/>
              <w:rPr>
                <w:rFonts w:ascii="宋体" w:hAnsi="宋体" w:eastAsia="宋体"/>
                <w:color w:val="auto"/>
                <w:sz w:val="24"/>
                <w:highlight w:val="none"/>
              </w:rPr>
            </w:pPr>
            <w:r>
              <w:rPr>
                <w:rFonts w:ascii="宋体" w:hAnsi="宋体" w:eastAsia="宋体"/>
                <w:color w:val="auto"/>
                <w:sz w:val="24"/>
                <w:highlight w:val="none"/>
              </w:rPr>
              <w:t xml:space="preserve">  2.1.1</w:t>
            </w:r>
          </w:p>
        </w:tc>
        <w:tc>
          <w:tcPr>
            <w:tcW w:w="1049" w:type="dxa"/>
            <w:vMerge w:val="restart"/>
            <w:tcBorders>
              <w:top w:val="single" w:color="auto" w:sz="4" w:space="0"/>
              <w:left w:val="single" w:color="auto" w:sz="4" w:space="0"/>
              <w:right w:val="single" w:color="auto" w:sz="4" w:space="0"/>
            </w:tcBorders>
            <w:vAlign w:val="center"/>
          </w:tcPr>
          <w:p w14:paraId="3B352AFD">
            <w:pPr>
              <w:spacing w:line="520" w:lineRule="exact"/>
              <w:jc w:val="center"/>
              <w:rPr>
                <w:rFonts w:ascii="宋体" w:hAnsi="宋体" w:eastAsia="宋体"/>
                <w:color w:val="auto"/>
                <w:sz w:val="24"/>
                <w:highlight w:val="none"/>
              </w:rPr>
            </w:pPr>
            <w:r>
              <w:rPr>
                <w:rFonts w:ascii="宋体" w:hAnsi="宋体" w:eastAsia="宋体"/>
                <w:color w:val="auto"/>
                <w:sz w:val="24"/>
                <w:highlight w:val="none"/>
              </w:rPr>
              <w:t>资格审查</w:t>
            </w:r>
          </w:p>
        </w:tc>
        <w:tc>
          <w:tcPr>
            <w:tcW w:w="2092" w:type="dxa"/>
            <w:tcBorders>
              <w:top w:val="single" w:color="auto" w:sz="4" w:space="0"/>
              <w:left w:val="single" w:color="auto" w:sz="4" w:space="0"/>
              <w:bottom w:val="single" w:color="auto" w:sz="4" w:space="0"/>
              <w:right w:val="single" w:color="auto" w:sz="4" w:space="0"/>
            </w:tcBorders>
            <w:vAlign w:val="center"/>
          </w:tcPr>
          <w:p w14:paraId="03CDFF43">
            <w:pPr>
              <w:spacing w:line="520" w:lineRule="exact"/>
              <w:jc w:val="center"/>
              <w:rPr>
                <w:rFonts w:ascii="宋体" w:hAnsi="宋体" w:eastAsia="宋体"/>
                <w:color w:val="auto"/>
                <w:sz w:val="24"/>
                <w:highlight w:val="none"/>
              </w:rPr>
            </w:pPr>
            <w:r>
              <w:rPr>
                <w:rFonts w:ascii="宋体" w:hAnsi="宋体" w:eastAsia="宋体"/>
                <w:color w:val="auto"/>
                <w:sz w:val="24"/>
                <w:highlight w:val="none"/>
              </w:rPr>
              <w:t>营业执照</w:t>
            </w:r>
          </w:p>
        </w:tc>
        <w:tc>
          <w:tcPr>
            <w:tcW w:w="5682" w:type="dxa"/>
            <w:tcBorders>
              <w:top w:val="single" w:color="auto" w:sz="4" w:space="0"/>
              <w:left w:val="single" w:color="auto" w:sz="4" w:space="0"/>
              <w:bottom w:val="single" w:color="auto" w:sz="4" w:space="0"/>
              <w:right w:val="single" w:color="auto" w:sz="4" w:space="0"/>
            </w:tcBorders>
            <w:vAlign w:val="center"/>
          </w:tcPr>
          <w:p w14:paraId="3EB039EB">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11项规定</w:t>
            </w:r>
          </w:p>
        </w:tc>
      </w:tr>
      <w:tr w14:paraId="5D1C2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1017" w:type="dxa"/>
            <w:vMerge w:val="continue"/>
            <w:tcBorders>
              <w:left w:val="single" w:color="auto" w:sz="4" w:space="0"/>
              <w:right w:val="single" w:color="auto" w:sz="4" w:space="0"/>
            </w:tcBorders>
            <w:vAlign w:val="center"/>
          </w:tcPr>
          <w:p w14:paraId="4C25A69B">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1BFAFFD7">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438AD795">
            <w:pPr>
              <w:spacing w:line="520" w:lineRule="exact"/>
              <w:jc w:val="center"/>
              <w:rPr>
                <w:rFonts w:ascii="宋体" w:hAnsi="宋体" w:eastAsia="宋体"/>
                <w:color w:val="auto"/>
                <w:sz w:val="24"/>
                <w:highlight w:val="none"/>
              </w:rPr>
            </w:pPr>
            <w:r>
              <w:rPr>
                <w:rFonts w:ascii="宋体" w:hAnsi="宋体" w:eastAsia="宋体"/>
                <w:color w:val="auto"/>
                <w:sz w:val="24"/>
                <w:highlight w:val="none"/>
              </w:rPr>
              <w:t>商业信誉和财务制度</w:t>
            </w:r>
          </w:p>
        </w:tc>
        <w:tc>
          <w:tcPr>
            <w:tcW w:w="5682" w:type="dxa"/>
            <w:tcBorders>
              <w:top w:val="single" w:color="auto" w:sz="4" w:space="0"/>
              <w:left w:val="single" w:color="auto" w:sz="4" w:space="0"/>
              <w:bottom w:val="single" w:color="auto" w:sz="4" w:space="0"/>
              <w:right w:val="single" w:color="auto" w:sz="4" w:space="0"/>
            </w:tcBorders>
            <w:vAlign w:val="center"/>
          </w:tcPr>
          <w:p w14:paraId="2C61EF95">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符合第二章“供应商须知前附表”第11项规定</w:t>
            </w:r>
          </w:p>
        </w:tc>
      </w:tr>
      <w:tr w14:paraId="79F2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1017" w:type="dxa"/>
            <w:vMerge w:val="continue"/>
            <w:tcBorders>
              <w:left w:val="single" w:color="auto" w:sz="4" w:space="0"/>
              <w:right w:val="single" w:color="auto" w:sz="4" w:space="0"/>
            </w:tcBorders>
            <w:vAlign w:val="center"/>
          </w:tcPr>
          <w:p w14:paraId="710ACA2D">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55838394">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10974CF3">
            <w:pPr>
              <w:spacing w:line="520" w:lineRule="exact"/>
              <w:jc w:val="center"/>
              <w:rPr>
                <w:rFonts w:ascii="宋体" w:hAnsi="宋体" w:eastAsia="宋体"/>
                <w:color w:val="auto"/>
                <w:sz w:val="24"/>
                <w:highlight w:val="none"/>
              </w:rPr>
            </w:pPr>
            <w:r>
              <w:rPr>
                <w:rFonts w:ascii="宋体" w:hAnsi="宋体" w:eastAsia="宋体"/>
                <w:color w:val="auto"/>
                <w:sz w:val="24"/>
                <w:highlight w:val="none"/>
              </w:rPr>
              <w:t>税收和社会保障资金</w:t>
            </w:r>
          </w:p>
        </w:tc>
        <w:tc>
          <w:tcPr>
            <w:tcW w:w="5682" w:type="dxa"/>
            <w:tcBorders>
              <w:top w:val="single" w:color="auto" w:sz="4" w:space="0"/>
              <w:left w:val="single" w:color="auto" w:sz="4" w:space="0"/>
              <w:bottom w:val="single" w:color="auto" w:sz="4" w:space="0"/>
              <w:right w:val="single" w:color="auto" w:sz="4" w:space="0"/>
            </w:tcBorders>
            <w:vAlign w:val="center"/>
          </w:tcPr>
          <w:p w14:paraId="3152F251">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11项规定</w:t>
            </w:r>
          </w:p>
        </w:tc>
      </w:tr>
      <w:tr w14:paraId="341B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1017" w:type="dxa"/>
            <w:vMerge w:val="continue"/>
            <w:tcBorders>
              <w:left w:val="single" w:color="auto" w:sz="4" w:space="0"/>
              <w:right w:val="single" w:color="auto" w:sz="4" w:space="0"/>
            </w:tcBorders>
            <w:vAlign w:val="center"/>
          </w:tcPr>
          <w:p w14:paraId="19EE94C0">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0F85FC68">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3DD00969">
            <w:pPr>
              <w:spacing w:line="520" w:lineRule="exact"/>
              <w:jc w:val="center"/>
              <w:rPr>
                <w:rFonts w:ascii="宋体" w:hAnsi="宋体" w:eastAsia="宋体"/>
                <w:color w:val="auto"/>
                <w:sz w:val="24"/>
                <w:highlight w:val="none"/>
              </w:rPr>
            </w:pPr>
            <w:r>
              <w:rPr>
                <w:rFonts w:ascii="宋体" w:hAnsi="宋体" w:eastAsia="宋体"/>
                <w:color w:val="auto"/>
                <w:sz w:val="24"/>
                <w:highlight w:val="none"/>
              </w:rPr>
              <w:t>设备和专业技术能力</w:t>
            </w:r>
          </w:p>
        </w:tc>
        <w:tc>
          <w:tcPr>
            <w:tcW w:w="5682" w:type="dxa"/>
            <w:tcBorders>
              <w:top w:val="single" w:color="auto" w:sz="4" w:space="0"/>
              <w:left w:val="single" w:color="auto" w:sz="4" w:space="0"/>
              <w:bottom w:val="single" w:color="auto" w:sz="4" w:space="0"/>
              <w:right w:val="single" w:color="auto" w:sz="4" w:space="0"/>
            </w:tcBorders>
            <w:vAlign w:val="center"/>
          </w:tcPr>
          <w:p w14:paraId="2FADA6D8">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11项规定</w:t>
            </w:r>
          </w:p>
        </w:tc>
      </w:tr>
      <w:tr w14:paraId="55423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trPr>
        <w:tc>
          <w:tcPr>
            <w:tcW w:w="1017" w:type="dxa"/>
            <w:vMerge w:val="continue"/>
            <w:tcBorders>
              <w:left w:val="single" w:color="auto" w:sz="4" w:space="0"/>
              <w:right w:val="single" w:color="auto" w:sz="4" w:space="0"/>
            </w:tcBorders>
            <w:vAlign w:val="center"/>
          </w:tcPr>
          <w:p w14:paraId="658ADD8B">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06E24246">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609604D1">
            <w:pPr>
              <w:spacing w:line="520" w:lineRule="exact"/>
              <w:jc w:val="center"/>
              <w:rPr>
                <w:rFonts w:ascii="宋体" w:hAnsi="宋体" w:eastAsia="宋体"/>
                <w:color w:val="auto"/>
                <w:sz w:val="24"/>
                <w:highlight w:val="none"/>
              </w:rPr>
            </w:pPr>
            <w:r>
              <w:rPr>
                <w:rFonts w:ascii="宋体" w:hAnsi="宋体" w:eastAsia="宋体"/>
                <w:color w:val="auto"/>
                <w:sz w:val="24"/>
                <w:highlight w:val="none"/>
              </w:rPr>
              <w:t>三年无重大承诺</w:t>
            </w:r>
          </w:p>
        </w:tc>
        <w:tc>
          <w:tcPr>
            <w:tcW w:w="5682" w:type="dxa"/>
            <w:tcBorders>
              <w:top w:val="single" w:color="auto" w:sz="4" w:space="0"/>
              <w:left w:val="single" w:color="auto" w:sz="4" w:space="0"/>
              <w:bottom w:val="single" w:color="auto" w:sz="4" w:space="0"/>
              <w:right w:val="single" w:color="auto" w:sz="4" w:space="0"/>
            </w:tcBorders>
            <w:vAlign w:val="center"/>
          </w:tcPr>
          <w:p w14:paraId="7EC052C5">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 项规定</w:t>
            </w:r>
          </w:p>
        </w:tc>
      </w:tr>
      <w:tr w14:paraId="09F1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017" w:type="dxa"/>
            <w:vMerge w:val="continue"/>
            <w:tcBorders>
              <w:left w:val="single" w:color="auto" w:sz="4" w:space="0"/>
              <w:right w:val="single" w:color="auto" w:sz="4" w:space="0"/>
            </w:tcBorders>
            <w:vAlign w:val="center"/>
          </w:tcPr>
          <w:p w14:paraId="3698A823">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5DA78AAF">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6677C3F9">
            <w:pPr>
              <w:spacing w:line="520" w:lineRule="exact"/>
              <w:jc w:val="center"/>
              <w:rPr>
                <w:rFonts w:ascii="宋体" w:hAnsi="宋体" w:eastAsia="宋体"/>
                <w:color w:val="auto"/>
                <w:sz w:val="24"/>
                <w:highlight w:val="none"/>
              </w:rPr>
            </w:pPr>
            <w:r>
              <w:rPr>
                <w:rFonts w:ascii="宋体" w:hAnsi="宋体" w:eastAsia="宋体"/>
                <w:color w:val="auto"/>
                <w:sz w:val="24"/>
                <w:highlight w:val="none"/>
              </w:rPr>
              <w:t>不允许分包、转包</w:t>
            </w:r>
          </w:p>
        </w:tc>
        <w:tc>
          <w:tcPr>
            <w:tcW w:w="5682" w:type="dxa"/>
            <w:tcBorders>
              <w:top w:val="single" w:color="auto" w:sz="4" w:space="0"/>
              <w:left w:val="single" w:color="auto" w:sz="4" w:space="0"/>
              <w:bottom w:val="single" w:color="auto" w:sz="4" w:space="0"/>
              <w:right w:val="single" w:color="auto" w:sz="4" w:space="0"/>
            </w:tcBorders>
            <w:vAlign w:val="center"/>
          </w:tcPr>
          <w:p w14:paraId="4D66F877">
            <w:pPr>
              <w:spacing w:line="520" w:lineRule="exact"/>
              <w:rPr>
                <w:rFonts w:ascii="宋体" w:hAnsi="宋体" w:eastAsia="宋体"/>
                <w:color w:val="auto"/>
                <w:sz w:val="24"/>
                <w:highlight w:val="none"/>
              </w:rPr>
            </w:pPr>
            <w:r>
              <w:rPr>
                <w:rFonts w:ascii="宋体" w:hAnsi="宋体" w:eastAsia="宋体"/>
                <w:color w:val="auto"/>
                <w:sz w:val="24"/>
                <w:highlight w:val="none"/>
              </w:rPr>
              <w:t>符合第二章“供应商须知</w:t>
            </w:r>
            <w:r>
              <w:rPr>
                <w:rFonts w:ascii="宋体" w:hAnsi="宋体" w:eastAsia="宋体"/>
                <w:color w:val="auto"/>
                <w:kern w:val="0"/>
                <w:sz w:val="24"/>
                <w:highlight w:val="none"/>
              </w:rPr>
              <w:t>前附表</w:t>
            </w:r>
            <w:r>
              <w:rPr>
                <w:rFonts w:ascii="宋体" w:hAnsi="宋体" w:eastAsia="宋体"/>
                <w:color w:val="auto"/>
                <w:sz w:val="24"/>
                <w:highlight w:val="none"/>
              </w:rPr>
              <w:t>”第 11 项规定</w:t>
            </w:r>
          </w:p>
        </w:tc>
      </w:tr>
      <w:tr w14:paraId="0C5BA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017" w:type="dxa"/>
            <w:vMerge w:val="continue"/>
            <w:tcBorders>
              <w:left w:val="single" w:color="auto" w:sz="4" w:space="0"/>
              <w:right w:val="single" w:color="auto" w:sz="4" w:space="0"/>
            </w:tcBorders>
            <w:vAlign w:val="center"/>
          </w:tcPr>
          <w:p w14:paraId="73D0A592">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289EE0F3">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467A963E">
            <w:pPr>
              <w:spacing w:line="520" w:lineRule="exact"/>
              <w:jc w:val="center"/>
              <w:rPr>
                <w:rFonts w:ascii="宋体" w:hAnsi="宋体" w:eastAsia="宋体"/>
                <w:color w:val="auto"/>
                <w:sz w:val="24"/>
                <w:highlight w:val="none"/>
              </w:rPr>
            </w:pPr>
            <w:r>
              <w:rPr>
                <w:rFonts w:ascii="宋体" w:hAnsi="宋体" w:eastAsia="宋体"/>
                <w:color w:val="auto"/>
                <w:sz w:val="24"/>
                <w:highlight w:val="none"/>
              </w:rPr>
              <w:t>企业信用</w:t>
            </w:r>
          </w:p>
        </w:tc>
        <w:tc>
          <w:tcPr>
            <w:tcW w:w="5682" w:type="dxa"/>
            <w:tcBorders>
              <w:top w:val="single" w:color="auto" w:sz="4" w:space="0"/>
              <w:left w:val="single" w:color="auto" w:sz="4" w:space="0"/>
              <w:bottom w:val="single" w:color="auto" w:sz="4" w:space="0"/>
              <w:right w:val="single" w:color="auto" w:sz="4" w:space="0"/>
            </w:tcBorders>
            <w:vAlign w:val="center"/>
          </w:tcPr>
          <w:p w14:paraId="73F4B773">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11项规定</w:t>
            </w:r>
          </w:p>
        </w:tc>
      </w:tr>
      <w:tr w14:paraId="7E2E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017" w:type="dxa"/>
            <w:vMerge w:val="continue"/>
            <w:tcBorders>
              <w:left w:val="single" w:color="auto" w:sz="4" w:space="0"/>
              <w:right w:val="single" w:color="auto" w:sz="4" w:space="0"/>
            </w:tcBorders>
            <w:vAlign w:val="center"/>
          </w:tcPr>
          <w:p w14:paraId="6ED56B42">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30E09ADF">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2DFE6C2D">
            <w:pPr>
              <w:spacing w:line="520" w:lineRule="exact"/>
              <w:jc w:val="center"/>
              <w:rPr>
                <w:rFonts w:ascii="宋体" w:hAnsi="宋体" w:eastAsia="宋体"/>
                <w:color w:val="auto"/>
                <w:sz w:val="24"/>
                <w:highlight w:val="none"/>
              </w:rPr>
            </w:pPr>
            <w:r>
              <w:rPr>
                <w:rFonts w:ascii="宋体" w:hAnsi="宋体" w:eastAsia="宋体"/>
                <w:color w:val="auto"/>
                <w:sz w:val="24"/>
                <w:highlight w:val="none"/>
              </w:rPr>
              <w:t>其他要求</w:t>
            </w:r>
          </w:p>
        </w:tc>
        <w:tc>
          <w:tcPr>
            <w:tcW w:w="5682" w:type="dxa"/>
            <w:tcBorders>
              <w:top w:val="single" w:color="auto" w:sz="4" w:space="0"/>
              <w:left w:val="single" w:color="auto" w:sz="4" w:space="0"/>
              <w:bottom w:val="single" w:color="auto" w:sz="4" w:space="0"/>
              <w:right w:val="single" w:color="auto" w:sz="4" w:space="0"/>
            </w:tcBorders>
            <w:vAlign w:val="center"/>
          </w:tcPr>
          <w:p w14:paraId="02972CF3">
            <w:pPr>
              <w:spacing w:line="520" w:lineRule="exact"/>
              <w:jc w:val="left"/>
              <w:rPr>
                <w:rFonts w:ascii="宋体" w:hAnsi="宋体" w:eastAsia="宋体"/>
                <w:color w:val="auto"/>
                <w:kern w:val="0"/>
                <w:sz w:val="24"/>
                <w:highlight w:val="none"/>
              </w:rPr>
            </w:pPr>
            <w:r>
              <w:rPr>
                <w:rFonts w:ascii="宋体" w:hAnsi="宋体" w:eastAsia="宋体"/>
                <w:color w:val="auto"/>
                <w:kern w:val="0"/>
                <w:sz w:val="24"/>
                <w:highlight w:val="none"/>
              </w:rPr>
              <w:t>符合第二章“供应商须知前附表”第 11项规定</w:t>
            </w:r>
          </w:p>
        </w:tc>
      </w:tr>
      <w:tr w14:paraId="7EAB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017" w:type="dxa"/>
            <w:vMerge w:val="restart"/>
            <w:tcBorders>
              <w:top w:val="single" w:color="auto" w:sz="4" w:space="0"/>
              <w:left w:val="single" w:color="auto" w:sz="4" w:space="0"/>
              <w:right w:val="single" w:color="auto" w:sz="4" w:space="0"/>
            </w:tcBorders>
            <w:vAlign w:val="center"/>
          </w:tcPr>
          <w:p w14:paraId="5EBFADB3">
            <w:pPr>
              <w:spacing w:line="520" w:lineRule="exact"/>
              <w:jc w:val="center"/>
              <w:rPr>
                <w:rFonts w:ascii="宋体" w:hAnsi="宋体" w:eastAsia="宋体"/>
                <w:color w:val="auto"/>
                <w:sz w:val="24"/>
                <w:highlight w:val="none"/>
              </w:rPr>
            </w:pPr>
            <w:r>
              <w:rPr>
                <w:rFonts w:ascii="宋体" w:hAnsi="宋体" w:eastAsia="宋体"/>
                <w:color w:val="auto"/>
                <w:sz w:val="24"/>
                <w:highlight w:val="none"/>
              </w:rPr>
              <w:t>2.1.2</w:t>
            </w:r>
          </w:p>
        </w:tc>
        <w:tc>
          <w:tcPr>
            <w:tcW w:w="1049" w:type="dxa"/>
            <w:vMerge w:val="restart"/>
            <w:tcBorders>
              <w:top w:val="single" w:color="auto" w:sz="4" w:space="0"/>
              <w:left w:val="single" w:color="auto" w:sz="4" w:space="0"/>
              <w:right w:val="single" w:color="auto" w:sz="4" w:space="0"/>
            </w:tcBorders>
            <w:vAlign w:val="center"/>
          </w:tcPr>
          <w:p w14:paraId="30A2DFC3">
            <w:pPr>
              <w:spacing w:line="520" w:lineRule="exact"/>
              <w:jc w:val="center"/>
              <w:rPr>
                <w:rFonts w:ascii="宋体" w:hAnsi="宋体" w:eastAsia="宋体"/>
                <w:color w:val="auto"/>
                <w:sz w:val="24"/>
                <w:highlight w:val="none"/>
              </w:rPr>
            </w:pPr>
            <w:r>
              <w:rPr>
                <w:rFonts w:ascii="宋体" w:hAnsi="宋体" w:eastAsia="宋体"/>
                <w:color w:val="auto"/>
                <w:sz w:val="24"/>
                <w:highlight w:val="none"/>
              </w:rPr>
              <w:t>形式性审查</w:t>
            </w:r>
          </w:p>
        </w:tc>
        <w:tc>
          <w:tcPr>
            <w:tcW w:w="2092" w:type="dxa"/>
            <w:tcBorders>
              <w:top w:val="single" w:color="auto" w:sz="4" w:space="0"/>
              <w:left w:val="single" w:color="auto" w:sz="4" w:space="0"/>
              <w:bottom w:val="single" w:color="auto" w:sz="4" w:space="0"/>
              <w:right w:val="single" w:color="auto" w:sz="4" w:space="0"/>
            </w:tcBorders>
            <w:vAlign w:val="center"/>
          </w:tcPr>
          <w:p w14:paraId="376337D7">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供应商名称</w:t>
            </w:r>
          </w:p>
        </w:tc>
        <w:tc>
          <w:tcPr>
            <w:tcW w:w="5682" w:type="dxa"/>
            <w:tcBorders>
              <w:top w:val="single" w:color="auto" w:sz="4" w:space="0"/>
              <w:left w:val="single" w:color="auto" w:sz="4" w:space="0"/>
              <w:bottom w:val="single" w:color="auto" w:sz="4" w:space="0"/>
              <w:right w:val="single" w:color="auto" w:sz="4" w:space="0"/>
            </w:tcBorders>
            <w:vAlign w:val="center"/>
          </w:tcPr>
          <w:p w14:paraId="78587C05">
            <w:pPr>
              <w:pStyle w:val="67"/>
              <w:shd w:val="clear" w:color="auto" w:fill="auto"/>
              <w:spacing w:before="0" w:line="520" w:lineRule="exact"/>
              <w:rPr>
                <w:rFonts w:eastAsia="宋体"/>
                <w:bCs/>
                <w:color w:val="auto"/>
                <w:sz w:val="24"/>
                <w:szCs w:val="24"/>
                <w:highlight w:val="none"/>
              </w:rPr>
            </w:pPr>
            <w:r>
              <w:rPr>
                <w:rFonts w:eastAsia="宋体"/>
                <w:bCs/>
                <w:color w:val="auto"/>
                <w:sz w:val="24"/>
                <w:szCs w:val="24"/>
                <w:highlight w:val="none"/>
              </w:rPr>
              <w:t>供应商名称与营业执照一致；</w:t>
            </w:r>
          </w:p>
        </w:tc>
      </w:tr>
      <w:tr w14:paraId="52C5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1017" w:type="dxa"/>
            <w:vMerge w:val="continue"/>
            <w:tcBorders>
              <w:left w:val="single" w:color="auto" w:sz="4" w:space="0"/>
              <w:right w:val="single" w:color="auto" w:sz="4" w:space="0"/>
            </w:tcBorders>
            <w:vAlign w:val="center"/>
          </w:tcPr>
          <w:p w14:paraId="399B06A3">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7EF0DBAD">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417234E9">
            <w:pPr>
              <w:spacing w:line="520" w:lineRule="exact"/>
              <w:jc w:val="center"/>
              <w:rPr>
                <w:rFonts w:ascii="宋体" w:hAnsi="宋体" w:eastAsia="宋体"/>
                <w:color w:val="auto"/>
                <w:sz w:val="24"/>
                <w:highlight w:val="none"/>
              </w:rPr>
            </w:pPr>
            <w:r>
              <w:rPr>
                <w:rFonts w:ascii="宋体" w:hAnsi="宋体" w:eastAsia="宋体"/>
                <w:color w:val="auto"/>
                <w:sz w:val="24"/>
                <w:highlight w:val="none"/>
              </w:rPr>
              <w:t>响应书签字盖章</w:t>
            </w:r>
          </w:p>
        </w:tc>
        <w:tc>
          <w:tcPr>
            <w:tcW w:w="5682" w:type="dxa"/>
            <w:tcBorders>
              <w:top w:val="single" w:color="auto" w:sz="4" w:space="0"/>
              <w:left w:val="single" w:color="auto" w:sz="4" w:space="0"/>
              <w:bottom w:val="single" w:color="auto" w:sz="4" w:space="0"/>
              <w:right w:val="single" w:color="auto" w:sz="4" w:space="0"/>
            </w:tcBorders>
            <w:vAlign w:val="center"/>
          </w:tcPr>
          <w:p w14:paraId="31519C76">
            <w:pPr>
              <w:pStyle w:val="67"/>
              <w:shd w:val="clear" w:color="auto" w:fill="auto"/>
              <w:spacing w:before="0" w:line="520" w:lineRule="exact"/>
              <w:rPr>
                <w:rFonts w:eastAsia="宋体"/>
                <w:color w:val="auto"/>
                <w:sz w:val="24"/>
                <w:szCs w:val="24"/>
                <w:highlight w:val="none"/>
              </w:rPr>
            </w:pPr>
            <w:r>
              <w:rPr>
                <w:rFonts w:eastAsia="宋体"/>
                <w:color w:val="auto"/>
                <w:sz w:val="24"/>
                <w:szCs w:val="24"/>
                <w:highlight w:val="none"/>
              </w:rPr>
              <w:t>符合磋商文件要求</w:t>
            </w:r>
          </w:p>
        </w:tc>
      </w:tr>
      <w:tr w14:paraId="5ABEA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1017" w:type="dxa"/>
            <w:vMerge w:val="continue"/>
            <w:tcBorders>
              <w:left w:val="single" w:color="auto" w:sz="4" w:space="0"/>
              <w:right w:val="single" w:color="auto" w:sz="4" w:space="0"/>
            </w:tcBorders>
            <w:vAlign w:val="center"/>
          </w:tcPr>
          <w:p w14:paraId="6FCDD000">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24A0801D">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7E3C46F6">
            <w:pPr>
              <w:spacing w:line="520" w:lineRule="exact"/>
              <w:jc w:val="center"/>
              <w:rPr>
                <w:rFonts w:ascii="宋体" w:hAnsi="宋体" w:eastAsia="宋体"/>
                <w:color w:val="auto"/>
                <w:sz w:val="24"/>
                <w:highlight w:val="none"/>
              </w:rPr>
            </w:pPr>
            <w:r>
              <w:rPr>
                <w:rFonts w:ascii="宋体" w:hAnsi="宋体" w:eastAsia="宋体"/>
                <w:color w:val="auto"/>
                <w:sz w:val="24"/>
                <w:highlight w:val="none"/>
              </w:rPr>
              <w:t>响应文件格式</w:t>
            </w:r>
          </w:p>
        </w:tc>
        <w:tc>
          <w:tcPr>
            <w:tcW w:w="5682" w:type="dxa"/>
            <w:tcBorders>
              <w:top w:val="single" w:color="auto" w:sz="4" w:space="0"/>
              <w:left w:val="single" w:color="auto" w:sz="4" w:space="0"/>
              <w:bottom w:val="single" w:color="auto" w:sz="4" w:space="0"/>
              <w:right w:val="single" w:color="auto" w:sz="4" w:space="0"/>
            </w:tcBorders>
            <w:vAlign w:val="center"/>
          </w:tcPr>
          <w:p w14:paraId="181FE202">
            <w:pPr>
              <w:pStyle w:val="67"/>
              <w:shd w:val="clear" w:color="auto" w:fill="auto"/>
              <w:spacing w:before="0" w:line="520" w:lineRule="exact"/>
              <w:rPr>
                <w:rFonts w:eastAsia="宋体"/>
                <w:color w:val="auto"/>
                <w:sz w:val="24"/>
                <w:szCs w:val="24"/>
                <w:highlight w:val="none"/>
              </w:rPr>
            </w:pPr>
            <w:r>
              <w:rPr>
                <w:rFonts w:eastAsia="宋体"/>
                <w:color w:val="auto"/>
                <w:sz w:val="24"/>
                <w:szCs w:val="24"/>
                <w:highlight w:val="none"/>
              </w:rPr>
              <w:t>符合响应文件格式</w:t>
            </w:r>
          </w:p>
        </w:tc>
      </w:tr>
      <w:tr w14:paraId="2157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1017" w:type="dxa"/>
            <w:vMerge w:val="continue"/>
            <w:tcBorders>
              <w:left w:val="single" w:color="auto" w:sz="4" w:space="0"/>
              <w:bottom w:val="single" w:color="auto" w:sz="4" w:space="0"/>
              <w:right w:val="single" w:color="auto" w:sz="4" w:space="0"/>
            </w:tcBorders>
            <w:vAlign w:val="center"/>
          </w:tcPr>
          <w:p w14:paraId="3E1F40C1">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bottom w:val="single" w:color="auto" w:sz="4" w:space="0"/>
              <w:right w:val="single" w:color="auto" w:sz="4" w:space="0"/>
            </w:tcBorders>
            <w:vAlign w:val="center"/>
          </w:tcPr>
          <w:p w14:paraId="65ED92A6">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52F84B34">
            <w:pPr>
              <w:spacing w:line="520" w:lineRule="exact"/>
              <w:jc w:val="center"/>
              <w:rPr>
                <w:rFonts w:hAnsi="宋体"/>
                <w:color w:val="auto"/>
                <w:sz w:val="24"/>
                <w:highlight w:val="none"/>
              </w:rPr>
            </w:pPr>
            <w:r>
              <w:rPr>
                <w:rFonts w:hAnsi="宋体"/>
                <w:color w:val="auto"/>
                <w:sz w:val="24"/>
                <w:highlight w:val="none"/>
              </w:rPr>
              <w:t>报价唯一</w:t>
            </w:r>
          </w:p>
        </w:tc>
        <w:tc>
          <w:tcPr>
            <w:tcW w:w="5682" w:type="dxa"/>
            <w:tcBorders>
              <w:top w:val="single" w:color="auto" w:sz="4" w:space="0"/>
              <w:left w:val="single" w:color="auto" w:sz="4" w:space="0"/>
              <w:bottom w:val="single" w:color="auto" w:sz="4" w:space="0"/>
              <w:right w:val="single" w:color="auto" w:sz="4" w:space="0"/>
            </w:tcBorders>
            <w:vAlign w:val="center"/>
          </w:tcPr>
          <w:p w14:paraId="34278DCF">
            <w:pPr>
              <w:pStyle w:val="67"/>
              <w:shd w:val="clear" w:color="auto" w:fill="auto"/>
              <w:spacing w:before="0" w:line="520" w:lineRule="exact"/>
              <w:rPr>
                <w:color w:val="auto"/>
                <w:sz w:val="24"/>
                <w:highlight w:val="none"/>
              </w:rPr>
            </w:pPr>
            <w:r>
              <w:rPr>
                <w:color w:val="auto"/>
                <w:sz w:val="24"/>
                <w:highlight w:val="none"/>
              </w:rPr>
              <w:t>只能有一个有效报价</w:t>
            </w:r>
          </w:p>
        </w:tc>
      </w:tr>
      <w:tr w14:paraId="4C1C3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1017" w:type="dxa"/>
            <w:vMerge w:val="restart"/>
            <w:tcBorders>
              <w:top w:val="single" w:color="auto" w:sz="4" w:space="0"/>
              <w:left w:val="single" w:color="auto" w:sz="4" w:space="0"/>
              <w:right w:val="single" w:color="auto" w:sz="4" w:space="0"/>
            </w:tcBorders>
            <w:vAlign w:val="center"/>
          </w:tcPr>
          <w:p w14:paraId="3A5BC9DE">
            <w:pPr>
              <w:spacing w:line="520" w:lineRule="exact"/>
              <w:jc w:val="center"/>
              <w:rPr>
                <w:rFonts w:ascii="宋体" w:hAnsi="宋体" w:eastAsia="宋体"/>
                <w:color w:val="auto"/>
                <w:sz w:val="24"/>
                <w:highlight w:val="none"/>
              </w:rPr>
            </w:pPr>
            <w:r>
              <w:rPr>
                <w:rFonts w:ascii="宋体" w:hAnsi="宋体" w:eastAsia="宋体"/>
                <w:color w:val="auto"/>
                <w:sz w:val="24"/>
                <w:highlight w:val="none"/>
              </w:rPr>
              <w:t>2.1.3</w:t>
            </w:r>
          </w:p>
          <w:p w14:paraId="616F8716">
            <w:pPr>
              <w:pStyle w:val="46"/>
              <w:ind w:left="2100" w:hanging="1050"/>
              <w:rPr>
                <w:color w:val="auto"/>
                <w:highlight w:val="none"/>
              </w:rPr>
            </w:pPr>
          </w:p>
          <w:p w14:paraId="0DE6BA14">
            <w:pPr>
              <w:pStyle w:val="46"/>
              <w:ind w:left="2100" w:hanging="1050"/>
              <w:rPr>
                <w:color w:val="auto"/>
                <w:highlight w:val="none"/>
              </w:rPr>
            </w:pPr>
          </w:p>
        </w:tc>
        <w:tc>
          <w:tcPr>
            <w:tcW w:w="1049" w:type="dxa"/>
            <w:vMerge w:val="restart"/>
            <w:tcBorders>
              <w:top w:val="single" w:color="auto" w:sz="4" w:space="0"/>
              <w:left w:val="single" w:color="auto" w:sz="4" w:space="0"/>
              <w:right w:val="single" w:color="auto" w:sz="4" w:space="0"/>
            </w:tcBorders>
            <w:vAlign w:val="center"/>
          </w:tcPr>
          <w:p w14:paraId="016E3007">
            <w:pPr>
              <w:spacing w:line="520" w:lineRule="exact"/>
              <w:jc w:val="center"/>
              <w:rPr>
                <w:rFonts w:ascii="宋体" w:hAnsi="宋体" w:eastAsia="宋体"/>
                <w:color w:val="auto"/>
                <w:sz w:val="24"/>
                <w:highlight w:val="none"/>
              </w:rPr>
            </w:pPr>
            <w:r>
              <w:rPr>
                <w:rFonts w:ascii="宋体" w:hAnsi="宋体" w:eastAsia="宋体"/>
                <w:color w:val="auto"/>
                <w:sz w:val="24"/>
                <w:highlight w:val="none"/>
              </w:rPr>
              <w:t>响应性审查</w:t>
            </w:r>
          </w:p>
        </w:tc>
        <w:tc>
          <w:tcPr>
            <w:tcW w:w="2092" w:type="dxa"/>
            <w:tcBorders>
              <w:top w:val="single" w:color="auto" w:sz="4" w:space="0"/>
              <w:left w:val="single" w:color="auto" w:sz="4" w:space="0"/>
              <w:bottom w:val="single" w:color="auto" w:sz="4" w:space="0"/>
              <w:right w:val="single" w:color="auto" w:sz="4" w:space="0"/>
            </w:tcBorders>
            <w:vAlign w:val="center"/>
          </w:tcPr>
          <w:p w14:paraId="66348D1B">
            <w:pPr>
              <w:spacing w:line="520" w:lineRule="exact"/>
              <w:jc w:val="center"/>
              <w:rPr>
                <w:rFonts w:ascii="宋体" w:hAnsi="宋体" w:eastAsia="宋体"/>
                <w:color w:val="auto"/>
                <w:sz w:val="24"/>
                <w:highlight w:val="none"/>
              </w:rPr>
            </w:pPr>
            <w:r>
              <w:rPr>
                <w:rFonts w:ascii="宋体" w:hAnsi="宋体" w:eastAsia="宋体"/>
                <w:color w:val="auto"/>
                <w:sz w:val="24"/>
                <w:highlight w:val="none"/>
              </w:rPr>
              <w:t>服务要求</w:t>
            </w:r>
          </w:p>
        </w:tc>
        <w:tc>
          <w:tcPr>
            <w:tcW w:w="5682" w:type="dxa"/>
            <w:tcBorders>
              <w:top w:val="single" w:color="auto" w:sz="4" w:space="0"/>
              <w:left w:val="single" w:color="auto" w:sz="4" w:space="0"/>
              <w:bottom w:val="single" w:color="auto" w:sz="4" w:space="0"/>
              <w:right w:val="single" w:color="auto" w:sz="4" w:space="0"/>
            </w:tcBorders>
            <w:vAlign w:val="center"/>
          </w:tcPr>
          <w:p w14:paraId="053C2BD8">
            <w:pPr>
              <w:pStyle w:val="67"/>
              <w:shd w:val="clear" w:color="auto" w:fill="auto"/>
              <w:spacing w:before="0" w:line="520" w:lineRule="exact"/>
              <w:rPr>
                <w:rFonts w:eastAsia="宋体"/>
                <w:color w:val="auto"/>
                <w:kern w:val="0"/>
                <w:sz w:val="24"/>
                <w:highlight w:val="none"/>
              </w:rPr>
            </w:pPr>
            <w:r>
              <w:rPr>
                <w:rFonts w:eastAsia="宋体"/>
                <w:color w:val="auto"/>
                <w:kern w:val="0"/>
                <w:sz w:val="24"/>
                <w:highlight w:val="none"/>
              </w:rPr>
              <w:t>符合第二章“供应商须知前附表”第 10项规定</w:t>
            </w:r>
          </w:p>
        </w:tc>
      </w:tr>
      <w:tr w14:paraId="29C15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trPr>
        <w:tc>
          <w:tcPr>
            <w:tcW w:w="1017" w:type="dxa"/>
            <w:vMerge w:val="continue"/>
            <w:tcBorders>
              <w:left w:val="single" w:color="auto" w:sz="4" w:space="0"/>
              <w:right w:val="single" w:color="auto" w:sz="4" w:space="0"/>
            </w:tcBorders>
            <w:vAlign w:val="center"/>
          </w:tcPr>
          <w:p w14:paraId="7CBCF3F4">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7DAA076C">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1EBF8338">
            <w:pPr>
              <w:spacing w:line="520" w:lineRule="exact"/>
              <w:jc w:val="center"/>
              <w:rPr>
                <w:rFonts w:hAnsi="宋体"/>
                <w:color w:val="auto"/>
                <w:sz w:val="24"/>
                <w:highlight w:val="none"/>
              </w:rPr>
            </w:pPr>
            <w:r>
              <w:rPr>
                <w:rFonts w:hAnsi="宋体"/>
                <w:color w:val="auto"/>
                <w:sz w:val="24"/>
                <w:highlight w:val="none"/>
              </w:rPr>
              <w:t>投标内容</w:t>
            </w:r>
          </w:p>
        </w:tc>
        <w:tc>
          <w:tcPr>
            <w:tcW w:w="5682" w:type="dxa"/>
            <w:tcBorders>
              <w:top w:val="single" w:color="auto" w:sz="4" w:space="0"/>
              <w:left w:val="single" w:color="auto" w:sz="4" w:space="0"/>
              <w:bottom w:val="single" w:color="auto" w:sz="4" w:space="0"/>
              <w:right w:val="single" w:color="auto" w:sz="4" w:space="0"/>
            </w:tcBorders>
            <w:vAlign w:val="center"/>
          </w:tcPr>
          <w:p w14:paraId="68318CC0">
            <w:pPr>
              <w:pStyle w:val="67"/>
              <w:shd w:val="clear" w:color="auto" w:fill="auto"/>
              <w:spacing w:before="0" w:line="520" w:lineRule="exact"/>
              <w:rPr>
                <w:rFonts w:eastAsia="宋体"/>
                <w:color w:val="auto"/>
                <w:kern w:val="0"/>
                <w:sz w:val="24"/>
                <w:highlight w:val="none"/>
              </w:rPr>
            </w:pPr>
            <w:r>
              <w:rPr>
                <w:rFonts w:eastAsia="宋体"/>
                <w:color w:val="auto"/>
                <w:kern w:val="0"/>
                <w:sz w:val="24"/>
                <w:highlight w:val="none"/>
              </w:rPr>
              <w:t>符合第二章“供应商须知前附表”第 5项规定</w:t>
            </w:r>
          </w:p>
        </w:tc>
      </w:tr>
      <w:tr w14:paraId="16D8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trPr>
        <w:tc>
          <w:tcPr>
            <w:tcW w:w="1017" w:type="dxa"/>
            <w:vMerge w:val="continue"/>
            <w:tcBorders>
              <w:left w:val="single" w:color="auto" w:sz="4" w:space="0"/>
              <w:right w:val="single" w:color="auto" w:sz="4" w:space="0"/>
            </w:tcBorders>
            <w:vAlign w:val="center"/>
          </w:tcPr>
          <w:p w14:paraId="47C64801">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55791E66">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0097D1A9">
            <w:pPr>
              <w:spacing w:line="520" w:lineRule="exact"/>
              <w:jc w:val="center"/>
              <w:rPr>
                <w:rFonts w:ascii="宋体" w:hAnsi="宋体" w:eastAsia="宋体"/>
                <w:color w:val="auto"/>
                <w:sz w:val="24"/>
                <w:highlight w:val="none"/>
              </w:rPr>
            </w:pPr>
            <w:r>
              <w:rPr>
                <w:rFonts w:ascii="宋体" w:hAnsi="宋体" w:eastAsia="宋体"/>
                <w:color w:val="auto"/>
                <w:sz w:val="24"/>
                <w:highlight w:val="none"/>
              </w:rPr>
              <w:t>服务期限</w:t>
            </w:r>
          </w:p>
        </w:tc>
        <w:tc>
          <w:tcPr>
            <w:tcW w:w="5682" w:type="dxa"/>
            <w:tcBorders>
              <w:top w:val="single" w:color="auto" w:sz="4" w:space="0"/>
              <w:left w:val="single" w:color="auto" w:sz="4" w:space="0"/>
              <w:bottom w:val="single" w:color="auto" w:sz="4" w:space="0"/>
              <w:right w:val="single" w:color="auto" w:sz="4" w:space="0"/>
            </w:tcBorders>
            <w:vAlign w:val="center"/>
          </w:tcPr>
          <w:p w14:paraId="1A4ECA4D">
            <w:pPr>
              <w:pStyle w:val="67"/>
              <w:shd w:val="clear" w:color="auto" w:fill="auto"/>
              <w:spacing w:before="0" w:line="520" w:lineRule="exact"/>
              <w:rPr>
                <w:rFonts w:eastAsia="宋体"/>
                <w:color w:val="auto"/>
                <w:kern w:val="0"/>
                <w:sz w:val="24"/>
                <w:highlight w:val="none"/>
              </w:rPr>
            </w:pPr>
            <w:r>
              <w:rPr>
                <w:rFonts w:eastAsia="宋体"/>
                <w:color w:val="auto"/>
                <w:kern w:val="0"/>
                <w:sz w:val="24"/>
                <w:highlight w:val="none"/>
              </w:rPr>
              <w:t>符合第二章“供应商须知前附表”第 9项规定</w:t>
            </w:r>
          </w:p>
        </w:tc>
      </w:tr>
      <w:tr w14:paraId="6894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1017" w:type="dxa"/>
            <w:vMerge w:val="continue"/>
            <w:tcBorders>
              <w:left w:val="single" w:color="auto" w:sz="4" w:space="0"/>
              <w:right w:val="single" w:color="auto" w:sz="4" w:space="0"/>
            </w:tcBorders>
            <w:vAlign w:val="center"/>
          </w:tcPr>
          <w:p w14:paraId="2D66D351">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3FA73B97">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6E2860C8">
            <w:pPr>
              <w:spacing w:line="520" w:lineRule="exact"/>
              <w:jc w:val="center"/>
              <w:rPr>
                <w:rFonts w:ascii="宋体" w:hAnsi="宋体" w:eastAsia="宋体"/>
                <w:color w:val="auto"/>
                <w:sz w:val="24"/>
                <w:highlight w:val="none"/>
              </w:rPr>
            </w:pPr>
            <w:r>
              <w:rPr>
                <w:rFonts w:ascii="宋体" w:hAnsi="宋体" w:eastAsia="宋体"/>
                <w:color w:val="auto"/>
                <w:sz w:val="24"/>
                <w:highlight w:val="none"/>
              </w:rPr>
              <w:t>磋商有效期</w:t>
            </w:r>
          </w:p>
        </w:tc>
        <w:tc>
          <w:tcPr>
            <w:tcW w:w="5682" w:type="dxa"/>
            <w:tcBorders>
              <w:top w:val="single" w:color="auto" w:sz="4" w:space="0"/>
              <w:left w:val="single" w:color="auto" w:sz="4" w:space="0"/>
              <w:bottom w:val="single" w:color="auto" w:sz="4" w:space="0"/>
              <w:right w:val="single" w:color="auto" w:sz="4" w:space="0"/>
            </w:tcBorders>
            <w:vAlign w:val="center"/>
          </w:tcPr>
          <w:p w14:paraId="34A2A8D5">
            <w:pPr>
              <w:pStyle w:val="67"/>
              <w:shd w:val="clear" w:color="auto" w:fill="auto"/>
              <w:spacing w:before="0" w:line="520" w:lineRule="exact"/>
              <w:ind w:right="20"/>
              <w:rPr>
                <w:rFonts w:eastAsia="宋体"/>
                <w:color w:val="auto"/>
                <w:kern w:val="0"/>
                <w:sz w:val="24"/>
                <w:szCs w:val="24"/>
                <w:highlight w:val="none"/>
              </w:rPr>
            </w:pPr>
            <w:r>
              <w:rPr>
                <w:rFonts w:eastAsia="宋体"/>
                <w:color w:val="auto"/>
                <w:kern w:val="0"/>
                <w:sz w:val="24"/>
                <w:szCs w:val="24"/>
                <w:highlight w:val="none"/>
              </w:rPr>
              <w:t>符合第二章“供应商须知前附表”第 20项规定</w:t>
            </w:r>
          </w:p>
        </w:tc>
      </w:tr>
      <w:tr w14:paraId="3653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trPr>
        <w:tc>
          <w:tcPr>
            <w:tcW w:w="1017" w:type="dxa"/>
            <w:vMerge w:val="continue"/>
            <w:tcBorders>
              <w:left w:val="single" w:color="auto" w:sz="4" w:space="0"/>
              <w:right w:val="single" w:color="auto" w:sz="4" w:space="0"/>
            </w:tcBorders>
            <w:vAlign w:val="center"/>
          </w:tcPr>
          <w:p w14:paraId="45379FA1">
            <w:pPr>
              <w:widowControl/>
              <w:spacing w:line="520" w:lineRule="exact"/>
              <w:jc w:val="left"/>
              <w:rPr>
                <w:rFonts w:ascii="宋体" w:hAnsi="宋体" w:eastAsia="宋体"/>
                <w:color w:val="auto"/>
                <w:sz w:val="24"/>
                <w:highlight w:val="none"/>
              </w:rPr>
            </w:pPr>
          </w:p>
        </w:tc>
        <w:tc>
          <w:tcPr>
            <w:tcW w:w="1049" w:type="dxa"/>
            <w:vMerge w:val="continue"/>
            <w:tcBorders>
              <w:left w:val="single" w:color="auto" w:sz="4" w:space="0"/>
              <w:right w:val="single" w:color="auto" w:sz="4" w:space="0"/>
            </w:tcBorders>
            <w:vAlign w:val="center"/>
          </w:tcPr>
          <w:p w14:paraId="35D88EB1">
            <w:pPr>
              <w:widowControl/>
              <w:spacing w:line="520" w:lineRule="exact"/>
              <w:jc w:val="left"/>
              <w:rPr>
                <w:rFonts w:ascii="宋体" w:hAnsi="宋体" w:eastAsia="宋体"/>
                <w:color w:val="auto"/>
                <w:sz w:val="24"/>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7D34FC30">
            <w:pPr>
              <w:spacing w:line="520" w:lineRule="exact"/>
              <w:jc w:val="center"/>
              <w:rPr>
                <w:rFonts w:ascii="宋体" w:hAnsi="宋体" w:eastAsia="宋体"/>
                <w:color w:val="auto"/>
                <w:sz w:val="24"/>
                <w:highlight w:val="none"/>
              </w:rPr>
            </w:pPr>
            <w:r>
              <w:rPr>
                <w:rFonts w:ascii="宋体" w:hAnsi="宋体" w:eastAsia="宋体"/>
                <w:color w:val="auto"/>
                <w:sz w:val="24"/>
                <w:highlight w:val="none"/>
              </w:rPr>
              <w:t>磋商报价</w:t>
            </w:r>
          </w:p>
        </w:tc>
        <w:tc>
          <w:tcPr>
            <w:tcW w:w="5682" w:type="dxa"/>
            <w:tcBorders>
              <w:top w:val="single" w:color="auto" w:sz="4" w:space="0"/>
              <w:left w:val="single" w:color="auto" w:sz="4" w:space="0"/>
              <w:bottom w:val="single" w:color="auto" w:sz="4" w:space="0"/>
              <w:right w:val="single" w:color="auto" w:sz="4" w:space="0"/>
            </w:tcBorders>
            <w:vAlign w:val="center"/>
          </w:tcPr>
          <w:p w14:paraId="35032874">
            <w:pPr>
              <w:pStyle w:val="67"/>
              <w:shd w:val="clear" w:color="auto" w:fill="auto"/>
              <w:spacing w:before="0" w:line="520" w:lineRule="exact"/>
              <w:rPr>
                <w:rFonts w:eastAsia="宋体"/>
                <w:color w:val="auto"/>
                <w:kern w:val="0"/>
                <w:sz w:val="24"/>
                <w:szCs w:val="24"/>
                <w:highlight w:val="none"/>
              </w:rPr>
            </w:pPr>
            <w:r>
              <w:rPr>
                <w:rFonts w:eastAsia="宋体"/>
                <w:color w:val="auto"/>
                <w:kern w:val="0"/>
                <w:sz w:val="24"/>
                <w:szCs w:val="24"/>
                <w:highlight w:val="none"/>
              </w:rPr>
              <w:t>符合第二章“供应商须知前附表”第29项规定</w:t>
            </w:r>
          </w:p>
        </w:tc>
      </w:tr>
      <w:tr w14:paraId="1F27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017" w:type="dxa"/>
            <w:tcBorders>
              <w:top w:val="single" w:color="auto" w:sz="4" w:space="0"/>
              <w:left w:val="single" w:color="auto" w:sz="4" w:space="0"/>
              <w:bottom w:val="single" w:color="auto" w:sz="4" w:space="0"/>
              <w:right w:val="single" w:color="auto" w:sz="4" w:space="0"/>
            </w:tcBorders>
            <w:vAlign w:val="center"/>
          </w:tcPr>
          <w:p w14:paraId="5935958E">
            <w:pPr>
              <w:widowControl/>
              <w:spacing w:line="520" w:lineRule="exact"/>
              <w:jc w:val="left"/>
              <w:rPr>
                <w:rFonts w:ascii="宋体" w:hAnsi="宋体" w:eastAsia="宋体"/>
                <w:color w:val="auto"/>
                <w:sz w:val="24"/>
                <w:highlight w:val="none"/>
              </w:rPr>
            </w:pPr>
            <w:r>
              <w:rPr>
                <w:rFonts w:ascii="宋体" w:hAnsi="宋体" w:eastAsia="宋体"/>
                <w:color w:val="auto"/>
                <w:sz w:val="24"/>
                <w:highlight w:val="none"/>
              </w:rPr>
              <w:t>条款号</w:t>
            </w:r>
          </w:p>
        </w:tc>
        <w:tc>
          <w:tcPr>
            <w:tcW w:w="3141" w:type="dxa"/>
            <w:gridSpan w:val="2"/>
            <w:tcBorders>
              <w:top w:val="single" w:color="auto" w:sz="4" w:space="0"/>
              <w:left w:val="single" w:color="auto" w:sz="4" w:space="0"/>
              <w:bottom w:val="single" w:color="auto" w:sz="4" w:space="0"/>
              <w:right w:val="single" w:color="auto" w:sz="4" w:space="0"/>
            </w:tcBorders>
            <w:vAlign w:val="center"/>
          </w:tcPr>
          <w:p w14:paraId="108EC2B9">
            <w:pPr>
              <w:spacing w:line="520" w:lineRule="exact"/>
              <w:jc w:val="center"/>
              <w:rPr>
                <w:rFonts w:ascii="宋体" w:hAnsi="宋体" w:eastAsia="宋体"/>
                <w:color w:val="auto"/>
                <w:sz w:val="24"/>
                <w:highlight w:val="none"/>
              </w:rPr>
            </w:pPr>
            <w:r>
              <w:rPr>
                <w:rFonts w:ascii="宋体" w:hAnsi="宋体" w:eastAsia="宋体"/>
                <w:color w:val="auto"/>
                <w:sz w:val="24"/>
                <w:highlight w:val="none"/>
              </w:rPr>
              <w:t>条款内容</w:t>
            </w:r>
          </w:p>
        </w:tc>
        <w:tc>
          <w:tcPr>
            <w:tcW w:w="5682" w:type="dxa"/>
            <w:tcBorders>
              <w:top w:val="single" w:color="auto" w:sz="4" w:space="0"/>
              <w:left w:val="single" w:color="auto" w:sz="4" w:space="0"/>
              <w:bottom w:val="single" w:color="auto" w:sz="4" w:space="0"/>
              <w:right w:val="single" w:color="auto" w:sz="4" w:space="0"/>
            </w:tcBorders>
            <w:vAlign w:val="center"/>
          </w:tcPr>
          <w:p w14:paraId="09A67DF2">
            <w:pPr>
              <w:pStyle w:val="67"/>
              <w:shd w:val="clear" w:color="auto" w:fill="auto"/>
              <w:spacing w:before="0" w:line="520" w:lineRule="exact"/>
              <w:ind w:right="20"/>
              <w:rPr>
                <w:rFonts w:eastAsia="宋体"/>
                <w:color w:val="auto"/>
                <w:sz w:val="24"/>
                <w:szCs w:val="24"/>
                <w:highlight w:val="none"/>
              </w:rPr>
            </w:pPr>
            <w:r>
              <w:rPr>
                <w:rFonts w:eastAsia="宋体"/>
                <w:color w:val="auto"/>
                <w:sz w:val="24"/>
                <w:szCs w:val="24"/>
                <w:highlight w:val="none"/>
              </w:rPr>
              <w:t>编列内容</w:t>
            </w:r>
          </w:p>
        </w:tc>
      </w:tr>
    </w:tbl>
    <w:p w14:paraId="60D4CED0">
      <w:pPr>
        <w:rPr>
          <w:vanish/>
          <w:color w:val="auto"/>
          <w:highlight w:val="none"/>
        </w:rPr>
      </w:pPr>
    </w:p>
    <w:tbl>
      <w:tblPr>
        <w:tblStyle w:val="8"/>
        <w:tblpPr w:leftFromText="180" w:rightFromText="180" w:vertAnchor="text" w:horzAnchor="margin"/>
        <w:tblOverlap w:val="never"/>
        <w:tblW w:w="89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1684"/>
        <w:gridCol w:w="5567"/>
      </w:tblGrid>
      <w:tr w14:paraId="6689A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4" w:hRule="atLeast"/>
        </w:trPr>
        <w:tc>
          <w:tcPr>
            <w:tcW w:w="1748" w:type="dxa"/>
            <w:tcBorders>
              <w:right w:val="single" w:color="auto" w:sz="4" w:space="0"/>
            </w:tcBorders>
            <w:noWrap w:val="0"/>
            <w:vAlign w:val="center"/>
          </w:tcPr>
          <w:p w14:paraId="2087AD21">
            <w:pPr>
              <w:spacing w:line="276" w:lineRule="auto"/>
              <w:jc w:val="center"/>
              <w:rPr>
                <w:rFonts w:ascii="宋体" w:hAnsi="宋体" w:eastAsia="宋体"/>
                <w:b/>
                <w:color w:val="auto"/>
                <w:sz w:val="24"/>
                <w:highlight w:val="none"/>
              </w:rPr>
            </w:pPr>
          </w:p>
          <w:p w14:paraId="1311E7C2">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2.2.1</w:t>
            </w:r>
          </w:p>
        </w:tc>
        <w:tc>
          <w:tcPr>
            <w:tcW w:w="1684" w:type="dxa"/>
            <w:tcBorders>
              <w:left w:val="single" w:color="auto" w:sz="4" w:space="0"/>
            </w:tcBorders>
            <w:noWrap w:val="0"/>
            <w:vAlign w:val="center"/>
          </w:tcPr>
          <w:p w14:paraId="09EF5CF2">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分值构成</w:t>
            </w:r>
          </w:p>
          <w:p w14:paraId="232077C5">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(总分100)</w:t>
            </w:r>
          </w:p>
        </w:tc>
        <w:tc>
          <w:tcPr>
            <w:tcW w:w="5567" w:type="dxa"/>
            <w:noWrap w:val="0"/>
            <w:vAlign w:val="center"/>
          </w:tcPr>
          <w:p w14:paraId="3D5ABF40">
            <w:pPr>
              <w:spacing w:line="276" w:lineRule="auto"/>
              <w:rPr>
                <w:rFonts w:ascii="宋体" w:hAnsi="宋体" w:eastAsia="宋体"/>
                <w:color w:val="auto"/>
                <w:sz w:val="24"/>
                <w:highlight w:val="none"/>
              </w:rPr>
            </w:pPr>
            <w:r>
              <w:rPr>
                <w:rFonts w:ascii="宋体" w:hAnsi="宋体" w:eastAsia="宋体"/>
                <w:color w:val="auto"/>
                <w:sz w:val="24"/>
                <w:highlight w:val="none"/>
              </w:rPr>
              <w:t>报价部分：10分</w:t>
            </w:r>
          </w:p>
          <w:p w14:paraId="50938A3A">
            <w:pPr>
              <w:spacing w:line="276" w:lineRule="auto"/>
              <w:rPr>
                <w:rFonts w:ascii="宋体" w:hAnsi="宋体" w:eastAsia="宋体"/>
                <w:color w:val="auto"/>
                <w:sz w:val="24"/>
                <w:highlight w:val="none"/>
              </w:rPr>
            </w:pPr>
            <w:r>
              <w:rPr>
                <w:rFonts w:ascii="宋体" w:hAnsi="宋体" w:eastAsia="宋体"/>
                <w:color w:val="auto"/>
                <w:sz w:val="24"/>
                <w:highlight w:val="none"/>
              </w:rPr>
              <w:t>综合部分：20分</w:t>
            </w:r>
          </w:p>
          <w:p w14:paraId="5CBADFA0">
            <w:pPr>
              <w:spacing w:line="276" w:lineRule="auto"/>
              <w:rPr>
                <w:rFonts w:ascii="宋体" w:hAnsi="宋体" w:eastAsia="宋体"/>
                <w:color w:val="auto"/>
                <w:sz w:val="24"/>
                <w:highlight w:val="none"/>
              </w:rPr>
            </w:pPr>
            <w:r>
              <w:rPr>
                <w:rFonts w:ascii="宋体" w:hAnsi="宋体" w:eastAsia="宋体"/>
                <w:color w:val="auto"/>
                <w:sz w:val="24"/>
                <w:highlight w:val="none"/>
              </w:rPr>
              <w:t>技术部分：70分</w:t>
            </w:r>
          </w:p>
        </w:tc>
      </w:tr>
      <w:tr w14:paraId="5EFEA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0" w:hRule="atLeast"/>
        </w:trPr>
        <w:tc>
          <w:tcPr>
            <w:tcW w:w="1748" w:type="dxa"/>
            <w:tcBorders>
              <w:right w:val="single" w:color="auto" w:sz="4" w:space="0"/>
            </w:tcBorders>
            <w:noWrap w:val="0"/>
            <w:vAlign w:val="center"/>
          </w:tcPr>
          <w:p w14:paraId="691FDD81">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2.2.2</w:t>
            </w:r>
          </w:p>
          <w:p w14:paraId="7A8117EC">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报价部分</w:t>
            </w:r>
          </w:p>
          <w:p w14:paraId="603C31A2">
            <w:pPr>
              <w:spacing w:line="276" w:lineRule="auto"/>
              <w:jc w:val="center"/>
              <w:rPr>
                <w:rFonts w:ascii="宋体" w:hAnsi="宋体" w:eastAsia="宋体"/>
                <w:color w:val="auto"/>
                <w:sz w:val="24"/>
                <w:highlight w:val="none"/>
              </w:rPr>
            </w:pPr>
            <w:r>
              <w:rPr>
                <w:rFonts w:ascii="宋体" w:hAnsi="宋体" w:eastAsia="宋体"/>
                <w:color w:val="auto"/>
                <w:sz w:val="24"/>
                <w:highlight w:val="none"/>
              </w:rPr>
              <w:t>（10分）</w:t>
            </w:r>
          </w:p>
        </w:tc>
        <w:tc>
          <w:tcPr>
            <w:tcW w:w="1684" w:type="dxa"/>
            <w:tcBorders>
              <w:left w:val="single" w:color="auto" w:sz="4" w:space="0"/>
            </w:tcBorders>
            <w:noWrap w:val="0"/>
            <w:vAlign w:val="center"/>
          </w:tcPr>
          <w:p w14:paraId="3E163DE0">
            <w:pPr>
              <w:spacing w:line="276" w:lineRule="auto"/>
              <w:jc w:val="center"/>
              <w:rPr>
                <w:rFonts w:ascii="宋体" w:hAnsi="宋体" w:eastAsia="宋体"/>
                <w:b/>
                <w:bCs/>
                <w:color w:val="auto"/>
                <w:sz w:val="24"/>
                <w:highlight w:val="none"/>
                <w:lang w:val="zh-CN"/>
              </w:rPr>
            </w:pPr>
            <w:r>
              <w:rPr>
                <w:rFonts w:ascii="宋体" w:hAnsi="宋体" w:eastAsia="宋体"/>
                <w:b/>
                <w:bCs/>
                <w:color w:val="auto"/>
                <w:sz w:val="24"/>
                <w:highlight w:val="none"/>
                <w:lang w:val="zh-CN"/>
              </w:rPr>
              <w:t>评标基准值计算方法及投标报价分值（1</w:t>
            </w:r>
            <w:r>
              <w:rPr>
                <w:rFonts w:ascii="宋体" w:hAnsi="宋体" w:eastAsia="宋体"/>
                <w:b/>
                <w:bCs/>
                <w:color w:val="auto"/>
                <w:sz w:val="24"/>
                <w:highlight w:val="none"/>
              </w:rPr>
              <w:t>0</w:t>
            </w:r>
            <w:r>
              <w:rPr>
                <w:rFonts w:ascii="宋体" w:hAnsi="宋体" w:eastAsia="宋体"/>
                <w:b/>
                <w:bCs/>
                <w:color w:val="auto"/>
                <w:sz w:val="24"/>
                <w:highlight w:val="none"/>
                <w:lang w:val="zh-CN"/>
              </w:rPr>
              <w:t>分）</w:t>
            </w:r>
          </w:p>
        </w:tc>
        <w:tc>
          <w:tcPr>
            <w:tcW w:w="5567" w:type="dxa"/>
            <w:tcBorders>
              <w:left w:val="single" w:color="auto" w:sz="4" w:space="0"/>
            </w:tcBorders>
            <w:noWrap w:val="0"/>
            <w:vAlign w:val="center"/>
          </w:tcPr>
          <w:p w14:paraId="48538D82">
            <w:pPr>
              <w:spacing w:line="276" w:lineRule="auto"/>
              <w:ind w:firstLine="480" w:firstLineChars="200"/>
              <w:rPr>
                <w:rFonts w:ascii="宋体" w:hAnsi="宋体" w:eastAsia="宋体"/>
                <w:color w:val="auto"/>
                <w:sz w:val="24"/>
                <w:highlight w:val="none"/>
              </w:rPr>
            </w:pPr>
            <w:r>
              <w:rPr>
                <w:rFonts w:ascii="宋体" w:hAnsi="宋体" w:eastAsia="宋体"/>
                <w:color w:val="auto"/>
                <w:sz w:val="24"/>
                <w:highlight w:val="none"/>
              </w:rPr>
              <w:t>价格分采用低价优先法计算，满足磋商文件要求且报价最低的报价为评标基准价，得满分10分，其他有效报价得分计算公式如下：</w:t>
            </w:r>
          </w:p>
          <w:p w14:paraId="65768213">
            <w:pPr>
              <w:spacing w:line="520" w:lineRule="exact"/>
              <w:ind w:firstLine="480" w:firstLineChars="200"/>
              <w:rPr>
                <w:rFonts w:ascii="宋体" w:hAnsi="宋体" w:eastAsia="宋体"/>
                <w:color w:val="auto"/>
                <w:sz w:val="24"/>
                <w:highlight w:val="none"/>
              </w:rPr>
            </w:pPr>
            <w:r>
              <w:rPr>
                <w:rFonts w:ascii="宋体" w:hAnsi="宋体" w:eastAsia="宋体"/>
                <w:color w:val="auto"/>
                <w:sz w:val="24"/>
                <w:highlight w:val="none"/>
              </w:rPr>
              <w:t>报价得分=（评标基准价/投标报价）×10%×100。</w:t>
            </w:r>
          </w:p>
          <w:p w14:paraId="65FF328B">
            <w:pPr>
              <w:spacing w:line="276" w:lineRule="auto"/>
              <w:ind w:firstLine="482" w:firstLineChars="200"/>
              <w:rPr>
                <w:rFonts w:ascii="宋体" w:hAnsi="宋体" w:eastAsia="宋体"/>
                <w:b/>
                <w:color w:val="auto"/>
                <w:sz w:val="24"/>
                <w:highlight w:val="none"/>
              </w:rPr>
            </w:pPr>
            <w:r>
              <w:rPr>
                <w:rFonts w:ascii="宋体" w:hAnsi="宋体" w:eastAsia="宋体"/>
                <w:b/>
                <w:color w:val="auto"/>
                <w:sz w:val="24"/>
                <w:highlight w:val="none"/>
              </w:rPr>
              <w:t>注：1、有效报价是指实质上响应磋商文件要求并通过实质性审核未被否决投标的所有供应商最终报价。</w:t>
            </w:r>
          </w:p>
          <w:p w14:paraId="666DC2F1">
            <w:pPr>
              <w:pStyle w:val="46"/>
              <w:numPr>
                <w:ilvl w:val="0"/>
                <w:numId w:val="4"/>
              </w:numPr>
              <w:ind w:left="0" w:leftChars="0" w:firstLine="482" w:firstLineChars="200"/>
              <w:rPr>
                <w:rFonts w:ascii="宋体" w:hAnsi="宋体" w:eastAsia="宋体"/>
                <w:b/>
                <w:color w:val="auto"/>
                <w:sz w:val="24"/>
                <w:highlight w:val="none"/>
              </w:rPr>
            </w:pPr>
            <w:r>
              <w:rPr>
                <w:rFonts w:ascii="宋体" w:hAnsi="宋体" w:eastAsia="宋体"/>
                <w:b/>
                <w:color w:val="auto"/>
                <w:sz w:val="24"/>
                <w:highlight w:val="none"/>
              </w:rPr>
              <w:t>根据财政部第87号令《政府采购货物和服务招标投标管理办法》，磋商小组认为供应商的最终磋商报价明显低于其他通过符合性审查供应商的报价，有可能影响服务质量或者不能诚信履约的，应当要求其在评标现场合理的时间内提供书面说明，并提交相关证明材料; 供应商不能证明其报价合理性的，磋商小组应当将其作为无效投标处理。</w:t>
            </w:r>
          </w:p>
        </w:tc>
      </w:tr>
      <w:tr w14:paraId="1D73A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82" w:hRule="atLeast"/>
        </w:trPr>
        <w:tc>
          <w:tcPr>
            <w:tcW w:w="1748" w:type="dxa"/>
            <w:vMerge w:val="restart"/>
            <w:tcBorders>
              <w:right w:val="single" w:color="auto" w:sz="4" w:space="0"/>
            </w:tcBorders>
            <w:noWrap w:val="0"/>
            <w:vAlign w:val="center"/>
          </w:tcPr>
          <w:p w14:paraId="5C5E906D">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2.2.3</w:t>
            </w:r>
          </w:p>
          <w:p w14:paraId="1626E097">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综合部分</w:t>
            </w:r>
          </w:p>
          <w:p w14:paraId="2BFE68D4">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（20分）</w:t>
            </w:r>
          </w:p>
        </w:tc>
        <w:tc>
          <w:tcPr>
            <w:tcW w:w="1684" w:type="dxa"/>
            <w:tcBorders>
              <w:left w:val="single" w:color="auto" w:sz="4" w:space="0"/>
            </w:tcBorders>
            <w:noWrap w:val="0"/>
            <w:vAlign w:val="center"/>
          </w:tcPr>
          <w:p w14:paraId="30619A16">
            <w:pPr>
              <w:spacing w:line="360" w:lineRule="auto"/>
              <w:rPr>
                <w:rFonts w:ascii="宋体" w:hAnsi="宋体" w:eastAsia="宋体"/>
                <w:b/>
                <w:bCs/>
                <w:color w:val="auto"/>
                <w:sz w:val="24"/>
                <w:highlight w:val="none"/>
                <w:lang w:val="zh-CN"/>
              </w:rPr>
            </w:pPr>
            <w:r>
              <w:rPr>
                <w:rFonts w:ascii="宋体" w:hAnsi="宋体" w:eastAsia="宋体"/>
                <w:b/>
                <w:bCs/>
                <w:color w:val="auto"/>
                <w:sz w:val="24"/>
                <w:highlight w:val="none"/>
                <w:lang w:val="zh-CN"/>
              </w:rPr>
              <w:t>综合评议（</w:t>
            </w:r>
            <w:r>
              <w:rPr>
                <w:rFonts w:ascii="宋体" w:hAnsi="宋体" w:eastAsia="宋体"/>
                <w:b/>
                <w:bCs/>
                <w:color w:val="auto"/>
                <w:sz w:val="24"/>
                <w:highlight w:val="none"/>
              </w:rPr>
              <w:t>6</w:t>
            </w:r>
            <w:r>
              <w:rPr>
                <w:rFonts w:ascii="宋体" w:hAnsi="宋体" w:eastAsia="宋体"/>
                <w:b/>
                <w:bCs/>
                <w:color w:val="auto"/>
                <w:sz w:val="24"/>
                <w:highlight w:val="none"/>
                <w:lang w:val="zh-CN"/>
              </w:rPr>
              <w:t>分）</w:t>
            </w:r>
          </w:p>
        </w:tc>
        <w:tc>
          <w:tcPr>
            <w:tcW w:w="5567" w:type="dxa"/>
            <w:tcBorders>
              <w:left w:val="single" w:color="auto" w:sz="4" w:space="0"/>
            </w:tcBorders>
            <w:noWrap w:val="0"/>
            <w:vAlign w:val="center"/>
          </w:tcPr>
          <w:p w14:paraId="0D68D41B">
            <w:pPr>
              <w:spacing w:line="360" w:lineRule="auto"/>
              <w:rPr>
                <w:rFonts w:ascii="宋体" w:hAnsi="宋体" w:eastAsia="宋体"/>
                <w:color w:val="auto"/>
                <w:sz w:val="24"/>
                <w:szCs w:val="32"/>
                <w:highlight w:val="none"/>
              </w:rPr>
            </w:pPr>
            <w:r>
              <w:rPr>
                <w:rFonts w:ascii="宋体" w:hAnsi="宋体" w:eastAsia="宋体"/>
                <w:color w:val="auto"/>
                <w:sz w:val="24"/>
                <w:szCs w:val="32"/>
                <w:highlight w:val="none"/>
              </w:rPr>
              <w:t>由评审小组根据供应商响应文件制作总体情况进行综合比较和评价（包括供应商的履约能力、服务经验等），优秀，得</w:t>
            </w:r>
            <w:r>
              <w:rPr>
                <w:rFonts w:ascii="宋体" w:hAnsi="宋体"/>
                <w:color w:val="auto"/>
                <w:sz w:val="24"/>
                <w:szCs w:val="32"/>
                <w:highlight w:val="none"/>
              </w:rPr>
              <w:t>6</w:t>
            </w:r>
            <w:r>
              <w:rPr>
                <w:rFonts w:ascii="宋体" w:hAnsi="宋体" w:eastAsia="宋体"/>
                <w:color w:val="auto"/>
                <w:sz w:val="24"/>
                <w:szCs w:val="32"/>
                <w:highlight w:val="none"/>
              </w:rPr>
              <w:t>分，良好的，得</w:t>
            </w:r>
            <w:r>
              <w:rPr>
                <w:rFonts w:ascii="宋体" w:hAnsi="宋体"/>
                <w:color w:val="auto"/>
                <w:sz w:val="24"/>
                <w:szCs w:val="32"/>
                <w:highlight w:val="none"/>
              </w:rPr>
              <w:t>4</w:t>
            </w:r>
            <w:r>
              <w:rPr>
                <w:rFonts w:ascii="宋体" w:hAnsi="宋体" w:eastAsia="宋体"/>
                <w:color w:val="auto"/>
                <w:sz w:val="24"/>
                <w:szCs w:val="32"/>
                <w:highlight w:val="none"/>
              </w:rPr>
              <w:t>分；一般的，得</w:t>
            </w:r>
            <w:r>
              <w:rPr>
                <w:rFonts w:ascii="宋体" w:hAnsi="宋体"/>
                <w:color w:val="auto"/>
                <w:sz w:val="24"/>
                <w:szCs w:val="32"/>
                <w:highlight w:val="none"/>
              </w:rPr>
              <w:t>2</w:t>
            </w:r>
            <w:r>
              <w:rPr>
                <w:rFonts w:ascii="宋体" w:hAnsi="宋体" w:eastAsia="宋体"/>
                <w:color w:val="auto"/>
                <w:sz w:val="24"/>
                <w:szCs w:val="32"/>
                <w:highlight w:val="none"/>
              </w:rPr>
              <w:t>分。</w:t>
            </w:r>
          </w:p>
        </w:tc>
      </w:tr>
      <w:tr w14:paraId="69A69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57" w:hRule="atLeast"/>
        </w:trPr>
        <w:tc>
          <w:tcPr>
            <w:tcW w:w="1748" w:type="dxa"/>
            <w:vMerge w:val="continue"/>
            <w:tcBorders>
              <w:right w:val="single" w:color="auto" w:sz="4" w:space="0"/>
            </w:tcBorders>
            <w:noWrap w:val="0"/>
            <w:vAlign w:val="center"/>
          </w:tcPr>
          <w:p w14:paraId="655A60D1">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5F36E0E4">
            <w:pPr>
              <w:spacing w:line="360" w:lineRule="auto"/>
              <w:jc w:val="center"/>
              <w:rPr>
                <w:rFonts w:ascii="宋体" w:hAnsi="宋体" w:eastAsia="宋体"/>
                <w:b/>
                <w:bCs/>
                <w:color w:val="auto"/>
                <w:sz w:val="24"/>
                <w:highlight w:val="none"/>
              </w:rPr>
            </w:pPr>
            <w:r>
              <w:rPr>
                <w:rFonts w:ascii="宋体" w:hAnsi="宋体" w:eastAsia="宋体"/>
                <w:b/>
                <w:bCs/>
                <w:color w:val="auto"/>
                <w:sz w:val="24"/>
                <w:highlight w:val="none"/>
              </w:rPr>
              <w:t>同类项目业绩</w:t>
            </w:r>
          </w:p>
          <w:p w14:paraId="2101DED2">
            <w:pPr>
              <w:spacing w:line="360" w:lineRule="auto"/>
              <w:jc w:val="center"/>
              <w:rPr>
                <w:rFonts w:ascii="宋体" w:hAnsi="宋体" w:eastAsia="宋体"/>
                <w:b/>
                <w:bCs/>
                <w:color w:val="auto"/>
                <w:sz w:val="24"/>
                <w:highlight w:val="none"/>
              </w:rPr>
            </w:pPr>
            <w:r>
              <w:rPr>
                <w:rFonts w:ascii="宋体" w:hAnsi="宋体" w:eastAsia="宋体"/>
                <w:b/>
                <w:bCs/>
                <w:color w:val="auto"/>
                <w:sz w:val="24"/>
                <w:highlight w:val="none"/>
              </w:rPr>
              <w:t>（6分）</w:t>
            </w:r>
          </w:p>
        </w:tc>
        <w:tc>
          <w:tcPr>
            <w:tcW w:w="5567" w:type="dxa"/>
            <w:tcBorders>
              <w:left w:val="single" w:color="auto" w:sz="4" w:space="0"/>
            </w:tcBorders>
            <w:noWrap w:val="0"/>
            <w:vAlign w:val="center"/>
          </w:tcPr>
          <w:p w14:paraId="087070EA">
            <w:pPr>
              <w:spacing w:line="360" w:lineRule="auto"/>
              <w:jc w:val="left"/>
              <w:rPr>
                <w:rFonts w:ascii="宋体" w:hAnsi="宋体" w:eastAsia="宋体"/>
                <w:color w:val="auto"/>
                <w:sz w:val="24"/>
                <w:szCs w:val="32"/>
                <w:highlight w:val="none"/>
              </w:rPr>
            </w:pPr>
            <w:r>
              <w:rPr>
                <w:rFonts w:hint="eastAsia" w:ascii="宋体" w:hAnsi="宋体" w:cs="宋体"/>
                <w:color w:val="auto"/>
                <w:sz w:val="24"/>
                <w:szCs w:val="32"/>
                <w:highlight w:val="none"/>
              </w:rPr>
              <w:t>供应商提供202</w:t>
            </w:r>
            <w:r>
              <w:rPr>
                <w:rFonts w:hint="eastAsia" w:ascii="宋体" w:hAnsi="宋体" w:cs="宋体"/>
                <w:color w:val="auto"/>
                <w:sz w:val="24"/>
                <w:szCs w:val="32"/>
                <w:highlight w:val="none"/>
                <w:lang w:val="en-US" w:eastAsia="zh-CN"/>
              </w:rPr>
              <w:t>2</w:t>
            </w:r>
            <w:r>
              <w:rPr>
                <w:rFonts w:hint="eastAsia" w:ascii="宋体" w:hAnsi="宋体" w:cs="宋体"/>
                <w:color w:val="auto"/>
                <w:sz w:val="24"/>
                <w:szCs w:val="32"/>
                <w:highlight w:val="none"/>
              </w:rPr>
              <w:t>年0</w:t>
            </w:r>
            <w:r>
              <w:rPr>
                <w:rFonts w:hint="eastAsia" w:ascii="宋体" w:hAnsi="宋体" w:cs="宋体"/>
                <w:color w:val="auto"/>
                <w:sz w:val="24"/>
                <w:szCs w:val="32"/>
                <w:highlight w:val="none"/>
                <w:lang w:val="en-US" w:eastAsia="zh-CN"/>
              </w:rPr>
              <w:t>1</w:t>
            </w:r>
            <w:r>
              <w:rPr>
                <w:rFonts w:hint="eastAsia" w:ascii="宋体" w:hAnsi="宋体" w:cs="宋体"/>
                <w:color w:val="auto"/>
                <w:sz w:val="24"/>
                <w:szCs w:val="32"/>
                <w:highlight w:val="none"/>
              </w:rPr>
              <w:t>月01日以来（以合同签订时间为准），每具有1项</w:t>
            </w:r>
            <w:r>
              <w:rPr>
                <w:rFonts w:hint="eastAsia" w:ascii="宋体" w:hAnsi="宋体" w:cs="宋体"/>
                <w:color w:val="auto"/>
                <w:sz w:val="24"/>
                <w:szCs w:val="32"/>
                <w:highlight w:val="none"/>
                <w:lang w:eastAsia="zh-CN"/>
              </w:rPr>
              <w:t>类似项目</w:t>
            </w:r>
            <w:r>
              <w:rPr>
                <w:rFonts w:hint="eastAsia" w:ascii="宋体" w:hAnsi="宋体" w:cs="宋体"/>
                <w:color w:val="auto"/>
                <w:sz w:val="24"/>
                <w:szCs w:val="32"/>
                <w:highlight w:val="none"/>
              </w:rPr>
              <w:t>业绩的，得</w:t>
            </w:r>
            <w:r>
              <w:rPr>
                <w:rFonts w:hint="eastAsia" w:ascii="宋体" w:hAnsi="宋体" w:cs="宋体"/>
                <w:color w:val="auto"/>
                <w:sz w:val="24"/>
                <w:szCs w:val="32"/>
                <w:highlight w:val="none"/>
                <w:lang w:val="en-US" w:eastAsia="zh-CN"/>
              </w:rPr>
              <w:t>2</w:t>
            </w:r>
            <w:r>
              <w:rPr>
                <w:rFonts w:hint="eastAsia" w:ascii="宋体" w:hAnsi="宋体" w:cs="宋体"/>
                <w:color w:val="auto"/>
                <w:sz w:val="24"/>
                <w:szCs w:val="32"/>
                <w:highlight w:val="none"/>
              </w:rPr>
              <w:t>分，本项共</w:t>
            </w:r>
            <w:r>
              <w:rPr>
                <w:rFonts w:hint="eastAsia" w:ascii="宋体" w:hAnsi="宋体" w:cs="宋体"/>
                <w:color w:val="auto"/>
                <w:sz w:val="24"/>
                <w:szCs w:val="32"/>
                <w:highlight w:val="none"/>
                <w:lang w:val="en-US" w:eastAsia="zh-CN"/>
              </w:rPr>
              <w:t>6</w:t>
            </w:r>
            <w:r>
              <w:rPr>
                <w:rFonts w:hint="eastAsia" w:ascii="宋体" w:hAnsi="宋体" w:cs="宋体"/>
                <w:color w:val="auto"/>
                <w:sz w:val="24"/>
                <w:szCs w:val="32"/>
                <w:highlight w:val="none"/>
              </w:rPr>
              <w:t>分；（业绩应提供合同</w:t>
            </w:r>
            <w:r>
              <w:rPr>
                <w:rFonts w:hint="eastAsia" w:ascii="宋体" w:hAnsi="宋体" w:cs="宋体"/>
                <w:color w:val="auto"/>
                <w:sz w:val="24"/>
                <w:szCs w:val="32"/>
                <w:highlight w:val="none"/>
                <w:lang w:eastAsia="zh-CN"/>
              </w:rPr>
              <w:t>原件扫描件或图片</w:t>
            </w:r>
            <w:r>
              <w:rPr>
                <w:rFonts w:hint="eastAsia" w:ascii="宋体" w:hAnsi="宋体" w:cs="宋体"/>
                <w:color w:val="auto"/>
                <w:sz w:val="24"/>
                <w:szCs w:val="32"/>
                <w:highlight w:val="none"/>
              </w:rPr>
              <w:t>）</w:t>
            </w:r>
          </w:p>
        </w:tc>
      </w:tr>
      <w:tr w14:paraId="21C9B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82" w:hRule="atLeast"/>
        </w:trPr>
        <w:tc>
          <w:tcPr>
            <w:tcW w:w="1748" w:type="dxa"/>
            <w:vMerge w:val="continue"/>
            <w:tcBorders>
              <w:right w:val="single" w:color="auto" w:sz="4" w:space="0"/>
            </w:tcBorders>
            <w:noWrap w:val="0"/>
            <w:vAlign w:val="center"/>
          </w:tcPr>
          <w:p w14:paraId="065CF884">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5B85865E">
            <w:pPr>
              <w:snapToGrid w:val="0"/>
              <w:spacing w:line="360" w:lineRule="auto"/>
              <w:jc w:val="center"/>
              <w:rPr>
                <w:rFonts w:ascii="宋体" w:hAnsi="宋体"/>
                <w:b/>
                <w:bCs/>
                <w:color w:val="auto"/>
                <w:szCs w:val="21"/>
                <w:highlight w:val="none"/>
              </w:rPr>
            </w:pPr>
            <w:r>
              <w:rPr>
                <w:rFonts w:ascii="宋体" w:hAnsi="宋体"/>
                <w:b/>
                <w:bCs/>
                <w:color w:val="auto"/>
                <w:szCs w:val="21"/>
                <w:highlight w:val="none"/>
              </w:rPr>
              <w:t>相关专业人员</w:t>
            </w:r>
          </w:p>
          <w:p w14:paraId="3EAAD975">
            <w:pPr>
              <w:snapToGrid w:val="0"/>
              <w:spacing w:line="360" w:lineRule="auto"/>
              <w:jc w:val="center"/>
              <w:rPr>
                <w:rFonts w:ascii="宋体" w:hAnsi="宋体"/>
                <w:b/>
                <w:bCs/>
                <w:color w:val="auto"/>
                <w:szCs w:val="21"/>
                <w:highlight w:val="none"/>
              </w:rPr>
            </w:pPr>
            <w:r>
              <w:rPr>
                <w:rFonts w:ascii="宋体" w:hAnsi="宋体"/>
                <w:b/>
                <w:bCs/>
                <w:color w:val="auto"/>
                <w:szCs w:val="21"/>
                <w:highlight w:val="none"/>
              </w:rPr>
              <w:t>（8分）</w:t>
            </w:r>
          </w:p>
        </w:tc>
        <w:tc>
          <w:tcPr>
            <w:tcW w:w="5567" w:type="dxa"/>
            <w:tcBorders>
              <w:left w:val="single" w:color="auto" w:sz="4" w:space="0"/>
            </w:tcBorders>
            <w:noWrap w:val="0"/>
            <w:vAlign w:val="center"/>
          </w:tcPr>
          <w:p w14:paraId="15DFF77A">
            <w:pPr>
              <w:spacing w:line="360" w:lineRule="auto"/>
              <w:jc w:val="left"/>
              <w:rPr>
                <w:rFonts w:hint="eastAsia" w:ascii="宋体" w:hAnsi="宋体" w:cs="宋体"/>
                <w:color w:val="auto"/>
                <w:sz w:val="24"/>
                <w:szCs w:val="32"/>
                <w:highlight w:val="none"/>
              </w:rPr>
            </w:pPr>
            <w:r>
              <w:rPr>
                <w:rFonts w:hint="eastAsia" w:ascii="宋体" w:hAnsi="宋体" w:cs="宋体"/>
                <w:color w:val="auto"/>
                <w:sz w:val="24"/>
                <w:szCs w:val="32"/>
                <w:highlight w:val="none"/>
              </w:rPr>
              <w:t>项目团队除项目负责人外每派1名</w:t>
            </w:r>
            <w:r>
              <w:rPr>
                <w:rFonts w:hint="eastAsia" w:ascii="宋体" w:hAnsi="宋体" w:cs="宋体"/>
                <w:color w:val="auto"/>
                <w:sz w:val="24"/>
                <w:szCs w:val="32"/>
                <w:highlight w:val="none"/>
                <w:lang w:val="en-US" w:eastAsia="zh-CN"/>
              </w:rPr>
              <w:t>相关专业</w:t>
            </w:r>
            <w:r>
              <w:rPr>
                <w:rFonts w:hint="eastAsia" w:ascii="宋体" w:hAnsi="宋体" w:cs="宋体"/>
                <w:color w:val="auto"/>
                <w:sz w:val="24"/>
                <w:szCs w:val="32"/>
                <w:highlight w:val="none"/>
              </w:rPr>
              <w:t>高级工程师得2分；本项最高得</w:t>
            </w:r>
            <w:r>
              <w:rPr>
                <w:rFonts w:hint="eastAsia" w:ascii="宋体" w:hAnsi="宋体" w:cs="宋体"/>
                <w:color w:val="auto"/>
                <w:sz w:val="24"/>
                <w:szCs w:val="32"/>
                <w:highlight w:val="none"/>
                <w:lang w:val="en-US" w:eastAsia="zh-CN"/>
              </w:rPr>
              <w:t>8</w:t>
            </w:r>
            <w:r>
              <w:rPr>
                <w:rFonts w:hint="eastAsia" w:ascii="宋体" w:hAnsi="宋体" w:cs="宋体"/>
                <w:color w:val="auto"/>
                <w:sz w:val="24"/>
                <w:szCs w:val="32"/>
                <w:highlight w:val="none"/>
              </w:rPr>
              <w:t>分。</w:t>
            </w:r>
          </w:p>
          <w:p w14:paraId="1E89103D">
            <w:pPr>
              <w:spacing w:line="360" w:lineRule="auto"/>
              <w:rPr>
                <w:rFonts w:ascii="宋体" w:hAnsi="宋体" w:eastAsia="宋体"/>
                <w:color w:val="auto"/>
                <w:sz w:val="24"/>
                <w:szCs w:val="32"/>
                <w:highlight w:val="none"/>
              </w:rPr>
            </w:pPr>
            <w:r>
              <w:rPr>
                <w:rFonts w:hint="eastAsia" w:ascii="宋体" w:hAnsi="宋体" w:cs="宋体"/>
                <w:color w:val="auto"/>
                <w:sz w:val="24"/>
                <w:szCs w:val="32"/>
                <w:highlight w:val="none"/>
              </w:rPr>
              <w:t>注：以上证书须提供原件扫描件（或图片）及本单位为其缴纳的社保证明，未提供或缺项者不得分。</w:t>
            </w:r>
          </w:p>
        </w:tc>
      </w:tr>
      <w:tr w14:paraId="11D9E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669" w:hRule="atLeast"/>
        </w:trPr>
        <w:tc>
          <w:tcPr>
            <w:tcW w:w="1748" w:type="dxa"/>
            <w:vMerge w:val="restart"/>
            <w:tcBorders>
              <w:right w:val="single" w:color="auto" w:sz="4" w:space="0"/>
            </w:tcBorders>
            <w:noWrap w:val="0"/>
            <w:vAlign w:val="center"/>
          </w:tcPr>
          <w:p w14:paraId="7C47974E">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2.2.4</w:t>
            </w:r>
          </w:p>
          <w:p w14:paraId="27181924">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技术部分</w:t>
            </w:r>
          </w:p>
          <w:p w14:paraId="53EE0A1E">
            <w:pPr>
              <w:spacing w:line="276" w:lineRule="auto"/>
              <w:jc w:val="center"/>
              <w:rPr>
                <w:rFonts w:ascii="宋体" w:hAnsi="宋体" w:eastAsia="宋体"/>
                <w:b/>
                <w:color w:val="auto"/>
                <w:sz w:val="24"/>
                <w:highlight w:val="none"/>
              </w:rPr>
            </w:pPr>
            <w:r>
              <w:rPr>
                <w:rFonts w:ascii="宋体" w:hAnsi="宋体" w:eastAsia="宋体"/>
                <w:b/>
                <w:color w:val="auto"/>
                <w:sz w:val="24"/>
                <w:highlight w:val="none"/>
              </w:rPr>
              <w:t>（70分）</w:t>
            </w:r>
          </w:p>
        </w:tc>
        <w:tc>
          <w:tcPr>
            <w:tcW w:w="1684" w:type="dxa"/>
            <w:tcBorders>
              <w:left w:val="single" w:color="auto" w:sz="4" w:space="0"/>
            </w:tcBorders>
            <w:noWrap w:val="0"/>
            <w:vAlign w:val="center"/>
          </w:tcPr>
          <w:p w14:paraId="295A6CCF">
            <w:pPr>
              <w:spacing w:line="360" w:lineRule="auto"/>
              <w:jc w:val="center"/>
              <w:rPr>
                <w:rFonts w:ascii="宋体" w:hAnsi="宋体"/>
                <w:b/>
                <w:bCs/>
                <w:color w:val="auto"/>
                <w:szCs w:val="21"/>
                <w:highlight w:val="none"/>
              </w:rPr>
            </w:pPr>
            <w:r>
              <w:rPr>
                <w:rFonts w:ascii="宋体" w:hAnsi="宋体"/>
                <w:b/>
                <w:bCs/>
                <w:color w:val="auto"/>
                <w:szCs w:val="21"/>
                <w:highlight w:val="none"/>
              </w:rPr>
              <w:t>整体服务</w:t>
            </w:r>
            <w:r>
              <w:rPr>
                <w:rFonts w:ascii="宋体" w:hAnsi="宋体" w:eastAsia="宋体"/>
                <w:b/>
                <w:bCs/>
                <w:color w:val="auto"/>
                <w:szCs w:val="21"/>
                <w:highlight w:val="none"/>
              </w:rPr>
              <w:t>方案</w:t>
            </w:r>
            <w:r>
              <w:rPr>
                <w:rFonts w:ascii="宋体" w:hAnsi="宋体"/>
                <w:b/>
                <w:bCs/>
                <w:color w:val="auto"/>
                <w:szCs w:val="21"/>
                <w:highlight w:val="none"/>
                <w:lang w:val="zh-CN"/>
              </w:rPr>
              <w:t>（</w:t>
            </w:r>
            <w:r>
              <w:rPr>
                <w:rFonts w:ascii="宋体" w:hAnsi="宋体"/>
                <w:b/>
                <w:bCs/>
                <w:color w:val="auto"/>
                <w:szCs w:val="21"/>
                <w:highlight w:val="none"/>
              </w:rPr>
              <w:t>10分）</w:t>
            </w:r>
          </w:p>
        </w:tc>
        <w:tc>
          <w:tcPr>
            <w:tcW w:w="5567" w:type="dxa"/>
            <w:tcBorders>
              <w:left w:val="single" w:color="auto" w:sz="4" w:space="0"/>
            </w:tcBorders>
            <w:noWrap w:val="0"/>
            <w:vAlign w:val="center"/>
          </w:tcPr>
          <w:p w14:paraId="1021EDF8">
            <w:pPr>
              <w:spacing w:line="360" w:lineRule="auto"/>
              <w:ind w:firstLine="420" w:firstLineChars="200"/>
              <w:rPr>
                <w:rFonts w:ascii="宋体" w:hAnsi="宋体"/>
                <w:color w:val="auto"/>
                <w:szCs w:val="21"/>
                <w:highlight w:val="none"/>
              </w:rPr>
            </w:pPr>
            <w:r>
              <w:rPr>
                <w:rFonts w:ascii="宋体" w:hAnsi="宋体"/>
                <w:color w:val="auto"/>
                <w:szCs w:val="21"/>
                <w:highlight w:val="none"/>
              </w:rPr>
              <w:t>根据供应商提供的整体服务方案进行评审：</w:t>
            </w:r>
          </w:p>
          <w:p w14:paraId="34D60A00">
            <w:pPr>
              <w:spacing w:line="360" w:lineRule="auto"/>
              <w:ind w:firstLine="420" w:firstLineChars="200"/>
              <w:rPr>
                <w:rFonts w:ascii="宋体" w:hAnsi="宋体"/>
                <w:color w:val="auto"/>
                <w:szCs w:val="21"/>
                <w:highlight w:val="none"/>
              </w:rPr>
            </w:pPr>
            <w:r>
              <w:rPr>
                <w:rFonts w:ascii="宋体" w:hAnsi="宋体"/>
                <w:color w:val="auto"/>
                <w:szCs w:val="21"/>
                <w:highlight w:val="none"/>
              </w:rPr>
              <w:t>1、方案针对性强、逻辑清晰、科学合理、内容详实、具有可操作性，完全满足本项目需要的，得10分；</w:t>
            </w:r>
          </w:p>
          <w:p w14:paraId="7C54054D">
            <w:pPr>
              <w:spacing w:line="360" w:lineRule="auto"/>
              <w:ind w:firstLine="420" w:firstLineChars="200"/>
              <w:rPr>
                <w:rFonts w:ascii="宋体" w:hAnsi="宋体"/>
                <w:color w:val="auto"/>
                <w:szCs w:val="21"/>
                <w:highlight w:val="none"/>
              </w:rPr>
            </w:pPr>
            <w:r>
              <w:rPr>
                <w:rFonts w:ascii="宋体" w:hAnsi="宋体"/>
                <w:color w:val="auto"/>
                <w:szCs w:val="21"/>
                <w:highlight w:val="none"/>
              </w:rPr>
              <w:t>2、方案针对性一般、考虑基本周全、基本合理、可行，虽然能够满足本项目需要，但有个别地方需要进一步完善的，得7分；</w:t>
            </w:r>
          </w:p>
          <w:p w14:paraId="6ABBF0F8">
            <w:pPr>
              <w:spacing w:line="360" w:lineRule="auto"/>
              <w:ind w:firstLine="420" w:firstLineChars="200"/>
              <w:rPr>
                <w:rFonts w:ascii="宋体" w:hAnsi="宋体"/>
                <w:color w:val="auto"/>
                <w:szCs w:val="21"/>
                <w:highlight w:val="none"/>
              </w:rPr>
            </w:pPr>
            <w:r>
              <w:rPr>
                <w:rFonts w:ascii="宋体" w:hAnsi="宋体"/>
                <w:color w:val="auto"/>
                <w:szCs w:val="21"/>
                <w:highlight w:val="none"/>
              </w:rPr>
              <w:t>3、方案针对性较差，考虑不够周全，虽然能够基本满足本项目需要，但有很多方面需要进一步完善甚至重新考虑的，得3分。</w:t>
            </w:r>
          </w:p>
          <w:p w14:paraId="4CF85AAE">
            <w:pPr>
              <w:spacing w:line="360" w:lineRule="auto"/>
              <w:ind w:firstLine="420" w:firstLineChars="200"/>
              <w:rPr>
                <w:rFonts w:ascii="宋体" w:hAnsi="宋体"/>
                <w:color w:val="auto"/>
                <w:szCs w:val="21"/>
                <w:highlight w:val="none"/>
              </w:rPr>
            </w:pPr>
            <w:r>
              <w:rPr>
                <w:rFonts w:ascii="宋体" w:hAnsi="宋体"/>
                <w:color w:val="auto"/>
                <w:szCs w:val="21"/>
                <w:highlight w:val="none"/>
              </w:rPr>
              <w:t>4、未提供者不得分。</w:t>
            </w:r>
          </w:p>
        </w:tc>
      </w:tr>
      <w:tr w14:paraId="73EBD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12" w:hRule="atLeast"/>
        </w:trPr>
        <w:tc>
          <w:tcPr>
            <w:tcW w:w="1748" w:type="dxa"/>
            <w:vMerge w:val="continue"/>
            <w:tcBorders>
              <w:right w:val="single" w:color="auto" w:sz="4" w:space="0"/>
            </w:tcBorders>
            <w:noWrap w:val="0"/>
            <w:vAlign w:val="center"/>
          </w:tcPr>
          <w:p w14:paraId="5B9FC1D8">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579B827B">
            <w:pPr>
              <w:widowControl/>
              <w:wordWrap w:val="0"/>
              <w:spacing w:line="440" w:lineRule="exact"/>
              <w:jc w:val="center"/>
              <w:rPr>
                <w:rFonts w:ascii="宋体" w:eastAsia="宋体"/>
                <w:b/>
                <w:bCs/>
                <w:color w:val="auto"/>
                <w:kern w:val="0"/>
                <w:szCs w:val="21"/>
                <w:highlight w:val="none"/>
                <w:lang w:val="zh-CN"/>
              </w:rPr>
            </w:pPr>
            <w:r>
              <w:rPr>
                <w:rFonts w:ascii="宋体" w:eastAsia="宋体"/>
                <w:b/>
                <w:bCs/>
                <w:color w:val="auto"/>
                <w:kern w:val="0"/>
                <w:szCs w:val="21"/>
                <w:highlight w:val="none"/>
                <w:lang w:val="zh-CN"/>
              </w:rPr>
              <w:t>项目重点、难点分析及应对措施（</w:t>
            </w:r>
            <w:r>
              <w:rPr>
                <w:rFonts w:ascii="宋体" w:eastAsia="宋体"/>
                <w:b/>
                <w:bCs/>
                <w:color w:val="auto"/>
                <w:kern w:val="0"/>
                <w:szCs w:val="21"/>
                <w:highlight w:val="none"/>
              </w:rPr>
              <w:t>10分）</w:t>
            </w:r>
          </w:p>
        </w:tc>
        <w:tc>
          <w:tcPr>
            <w:tcW w:w="5567" w:type="dxa"/>
            <w:tcBorders>
              <w:left w:val="single" w:color="auto" w:sz="4" w:space="0"/>
            </w:tcBorders>
            <w:noWrap w:val="0"/>
            <w:vAlign w:val="center"/>
          </w:tcPr>
          <w:p w14:paraId="31A21A82">
            <w:pPr>
              <w:spacing w:line="360" w:lineRule="auto"/>
              <w:ind w:firstLine="420" w:firstLineChars="200"/>
              <w:rPr>
                <w:rFonts w:ascii="宋体" w:hAnsi="宋体"/>
                <w:color w:val="auto"/>
                <w:szCs w:val="21"/>
                <w:highlight w:val="none"/>
              </w:rPr>
            </w:pPr>
            <w:r>
              <w:rPr>
                <w:rFonts w:ascii="宋体" w:hAnsi="宋体"/>
                <w:color w:val="auto"/>
                <w:szCs w:val="21"/>
                <w:highlight w:val="none"/>
              </w:rPr>
              <w:t>根据供应商提供的</w:t>
            </w:r>
            <w:r>
              <w:rPr>
                <w:rFonts w:ascii="宋体" w:eastAsia="宋体"/>
                <w:color w:val="auto"/>
                <w:kern w:val="0"/>
                <w:szCs w:val="21"/>
                <w:highlight w:val="none"/>
                <w:lang w:val="zh-CN"/>
              </w:rPr>
              <w:t>项目重点、难点分析及应对措施</w:t>
            </w:r>
            <w:r>
              <w:rPr>
                <w:rFonts w:ascii="宋体" w:hAnsi="宋体"/>
                <w:color w:val="auto"/>
                <w:szCs w:val="21"/>
                <w:highlight w:val="none"/>
              </w:rPr>
              <w:t>进行评审：</w:t>
            </w:r>
          </w:p>
          <w:p w14:paraId="75F6B56C">
            <w:pPr>
              <w:spacing w:line="360" w:lineRule="auto"/>
              <w:ind w:firstLine="420" w:firstLineChars="200"/>
              <w:rPr>
                <w:rFonts w:ascii="宋体" w:hAnsi="宋体"/>
                <w:color w:val="auto"/>
                <w:szCs w:val="21"/>
                <w:highlight w:val="none"/>
              </w:rPr>
            </w:pPr>
            <w:r>
              <w:rPr>
                <w:rFonts w:ascii="宋体" w:hAnsi="宋体"/>
                <w:color w:val="auto"/>
                <w:szCs w:val="21"/>
                <w:highlight w:val="none"/>
              </w:rPr>
              <w:t>1、对本项目需要理解清晰</w:t>
            </w:r>
            <w:r>
              <w:rPr>
                <w:rFonts w:ascii="宋体" w:eastAsia="宋体"/>
                <w:color w:val="auto"/>
                <w:kern w:val="0"/>
                <w:szCs w:val="21"/>
                <w:highlight w:val="none"/>
                <w:lang w:val="zh-CN"/>
              </w:rPr>
              <w:t>、</w:t>
            </w:r>
            <w:r>
              <w:rPr>
                <w:rFonts w:ascii="宋体"/>
                <w:color w:val="auto"/>
                <w:kern w:val="0"/>
                <w:szCs w:val="21"/>
                <w:highlight w:val="none"/>
              </w:rPr>
              <w:t>全面。</w:t>
            </w:r>
            <w:r>
              <w:rPr>
                <w:rFonts w:ascii="宋体" w:eastAsia="宋体"/>
                <w:color w:val="auto"/>
                <w:kern w:val="0"/>
                <w:szCs w:val="21"/>
                <w:highlight w:val="none"/>
                <w:lang w:val="zh-CN"/>
              </w:rPr>
              <w:t>提出的项目重点</w:t>
            </w:r>
            <w:r>
              <w:rPr>
                <w:rFonts w:ascii="宋体"/>
                <w:color w:val="auto"/>
                <w:kern w:val="0"/>
                <w:szCs w:val="21"/>
                <w:highlight w:val="none"/>
                <w:lang w:val="zh-CN"/>
              </w:rPr>
              <w:t>、</w:t>
            </w:r>
            <w:r>
              <w:rPr>
                <w:rFonts w:ascii="宋体" w:eastAsia="宋体"/>
                <w:color w:val="auto"/>
                <w:kern w:val="0"/>
                <w:szCs w:val="21"/>
                <w:highlight w:val="none"/>
                <w:lang w:val="zh-CN"/>
              </w:rPr>
              <w:t>难点</w:t>
            </w:r>
            <w:r>
              <w:rPr>
                <w:rFonts w:ascii="宋体"/>
                <w:color w:val="auto"/>
                <w:kern w:val="0"/>
                <w:szCs w:val="21"/>
                <w:highlight w:val="none"/>
              </w:rPr>
              <w:t>针对性强、科学合理、考虑周全、切合本项目实际需求。应对措施针对本项目重点、难点具有详实科学合理的解决方案且考虑周全、切合实际、可行的，得10分；</w:t>
            </w:r>
          </w:p>
          <w:p w14:paraId="11501D25">
            <w:pPr>
              <w:spacing w:line="360" w:lineRule="auto"/>
              <w:ind w:firstLine="420" w:firstLineChars="200"/>
              <w:rPr>
                <w:rFonts w:ascii="宋体" w:hAnsi="宋体"/>
                <w:color w:val="auto"/>
                <w:szCs w:val="21"/>
                <w:highlight w:val="none"/>
              </w:rPr>
            </w:pPr>
            <w:r>
              <w:rPr>
                <w:rFonts w:ascii="宋体" w:hAnsi="宋体"/>
                <w:color w:val="auto"/>
                <w:szCs w:val="21"/>
                <w:highlight w:val="none"/>
              </w:rPr>
              <w:t>2、对本项目需要理解清晰</w:t>
            </w:r>
            <w:r>
              <w:rPr>
                <w:rFonts w:ascii="宋体" w:eastAsia="宋体"/>
                <w:color w:val="auto"/>
                <w:kern w:val="0"/>
                <w:szCs w:val="21"/>
                <w:highlight w:val="none"/>
                <w:lang w:val="zh-CN"/>
              </w:rPr>
              <w:t>、</w:t>
            </w:r>
            <w:r>
              <w:rPr>
                <w:rFonts w:ascii="宋体"/>
                <w:color w:val="auto"/>
                <w:kern w:val="0"/>
                <w:szCs w:val="21"/>
                <w:highlight w:val="none"/>
              </w:rPr>
              <w:t>但不够全面。</w:t>
            </w:r>
            <w:r>
              <w:rPr>
                <w:rFonts w:ascii="宋体" w:eastAsia="宋体"/>
                <w:color w:val="auto"/>
                <w:kern w:val="0"/>
                <w:szCs w:val="21"/>
                <w:highlight w:val="none"/>
                <w:lang w:val="zh-CN"/>
              </w:rPr>
              <w:t>提出的项目重点</w:t>
            </w:r>
            <w:r>
              <w:rPr>
                <w:rFonts w:ascii="宋体"/>
                <w:color w:val="auto"/>
                <w:kern w:val="0"/>
                <w:szCs w:val="21"/>
                <w:highlight w:val="none"/>
                <w:lang w:val="zh-CN"/>
              </w:rPr>
              <w:t>、</w:t>
            </w:r>
            <w:r>
              <w:rPr>
                <w:rFonts w:ascii="宋体" w:eastAsia="宋体"/>
                <w:color w:val="auto"/>
                <w:kern w:val="0"/>
                <w:szCs w:val="21"/>
                <w:highlight w:val="none"/>
                <w:lang w:val="zh-CN"/>
              </w:rPr>
              <w:t>难点</w:t>
            </w:r>
            <w:r>
              <w:rPr>
                <w:rFonts w:ascii="宋体"/>
                <w:color w:val="auto"/>
                <w:kern w:val="0"/>
                <w:szCs w:val="21"/>
                <w:highlight w:val="none"/>
              </w:rPr>
              <w:t>针对性一般、合理、切合本项目实际需求。应对措施针对本项目重点、难点解决</w:t>
            </w:r>
            <w:r>
              <w:rPr>
                <w:rFonts w:ascii="宋体" w:hAnsi="宋体"/>
                <w:color w:val="auto"/>
                <w:szCs w:val="21"/>
                <w:highlight w:val="none"/>
              </w:rPr>
              <w:t>虽然能够满足本项目需要，但有个别地方需要进一步完善的</w:t>
            </w:r>
            <w:r>
              <w:rPr>
                <w:rFonts w:ascii="宋体"/>
                <w:color w:val="auto"/>
                <w:kern w:val="0"/>
                <w:szCs w:val="21"/>
                <w:highlight w:val="none"/>
              </w:rPr>
              <w:t>，得7分；</w:t>
            </w:r>
          </w:p>
          <w:p w14:paraId="5C8879D6">
            <w:pPr>
              <w:spacing w:line="360" w:lineRule="auto"/>
              <w:ind w:firstLine="420" w:firstLineChars="200"/>
              <w:rPr>
                <w:rFonts w:ascii="宋体" w:hAnsi="宋体"/>
                <w:color w:val="auto"/>
                <w:szCs w:val="21"/>
                <w:highlight w:val="none"/>
              </w:rPr>
            </w:pPr>
            <w:r>
              <w:rPr>
                <w:rFonts w:ascii="宋体" w:hAnsi="宋体"/>
                <w:color w:val="auto"/>
                <w:szCs w:val="21"/>
                <w:highlight w:val="none"/>
              </w:rPr>
              <w:t>3、对本项目需要理解不清晰</w:t>
            </w:r>
            <w:r>
              <w:rPr>
                <w:rFonts w:ascii="宋体" w:eastAsia="宋体"/>
                <w:color w:val="auto"/>
                <w:kern w:val="0"/>
                <w:szCs w:val="21"/>
                <w:highlight w:val="none"/>
                <w:lang w:val="zh-CN"/>
              </w:rPr>
              <w:t>、</w:t>
            </w:r>
            <w:r>
              <w:rPr>
                <w:rFonts w:ascii="宋体"/>
                <w:color w:val="auto"/>
                <w:kern w:val="0"/>
                <w:szCs w:val="21"/>
                <w:highlight w:val="none"/>
              </w:rPr>
              <w:t>不全面。</w:t>
            </w:r>
            <w:r>
              <w:rPr>
                <w:rFonts w:ascii="宋体" w:eastAsia="宋体"/>
                <w:color w:val="auto"/>
                <w:kern w:val="0"/>
                <w:szCs w:val="21"/>
                <w:highlight w:val="none"/>
                <w:lang w:val="zh-CN"/>
              </w:rPr>
              <w:t>提出的项目重点</w:t>
            </w:r>
            <w:r>
              <w:rPr>
                <w:rFonts w:ascii="宋体"/>
                <w:color w:val="auto"/>
                <w:kern w:val="0"/>
                <w:szCs w:val="21"/>
                <w:highlight w:val="none"/>
                <w:lang w:val="zh-CN"/>
              </w:rPr>
              <w:t>、</w:t>
            </w:r>
            <w:r>
              <w:rPr>
                <w:rFonts w:ascii="宋体" w:eastAsia="宋体"/>
                <w:color w:val="auto"/>
                <w:kern w:val="0"/>
                <w:szCs w:val="21"/>
                <w:highlight w:val="none"/>
                <w:lang w:val="zh-CN"/>
              </w:rPr>
              <w:t>难点</w:t>
            </w:r>
            <w:r>
              <w:rPr>
                <w:rFonts w:ascii="宋体"/>
                <w:color w:val="auto"/>
                <w:kern w:val="0"/>
                <w:szCs w:val="21"/>
                <w:highlight w:val="none"/>
              </w:rPr>
              <w:t>针对性较差、</w:t>
            </w:r>
            <w:r>
              <w:rPr>
                <w:rFonts w:ascii="宋体" w:hAnsi="宋体"/>
                <w:color w:val="auto"/>
                <w:szCs w:val="21"/>
                <w:highlight w:val="none"/>
              </w:rPr>
              <w:t>考虑不够周全</w:t>
            </w:r>
            <w:r>
              <w:rPr>
                <w:rFonts w:ascii="宋体"/>
                <w:color w:val="auto"/>
                <w:kern w:val="0"/>
                <w:szCs w:val="21"/>
                <w:highlight w:val="none"/>
              </w:rPr>
              <w:t>，存在不切合本项目实际需求的地方。应对措施针对本项目重点、难点解决较差，虽</w:t>
            </w:r>
            <w:r>
              <w:rPr>
                <w:rFonts w:ascii="宋体" w:hAnsi="宋体"/>
                <w:color w:val="auto"/>
                <w:szCs w:val="21"/>
                <w:highlight w:val="none"/>
              </w:rPr>
              <w:t>然能够基本满足本项目需要，但有很多方面需要进一步完善甚至重新考虑的</w:t>
            </w:r>
            <w:r>
              <w:rPr>
                <w:rFonts w:ascii="宋体"/>
                <w:color w:val="auto"/>
                <w:kern w:val="0"/>
                <w:szCs w:val="21"/>
                <w:highlight w:val="none"/>
              </w:rPr>
              <w:t>，得3分；</w:t>
            </w:r>
          </w:p>
          <w:p w14:paraId="08A3224D">
            <w:pPr>
              <w:spacing w:line="360" w:lineRule="auto"/>
              <w:ind w:firstLine="420" w:firstLineChars="200"/>
              <w:rPr>
                <w:rFonts w:ascii="宋体" w:hAnsi="宋体"/>
                <w:color w:val="auto"/>
                <w:szCs w:val="21"/>
                <w:highlight w:val="none"/>
              </w:rPr>
            </w:pPr>
            <w:r>
              <w:rPr>
                <w:rFonts w:ascii="宋体" w:hAnsi="宋体"/>
                <w:color w:val="auto"/>
                <w:szCs w:val="21"/>
                <w:highlight w:val="none"/>
              </w:rPr>
              <w:t>4、未提供者不得分。</w:t>
            </w:r>
          </w:p>
        </w:tc>
      </w:tr>
      <w:tr w14:paraId="7B2C3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297" w:hRule="atLeast"/>
        </w:trPr>
        <w:tc>
          <w:tcPr>
            <w:tcW w:w="1748" w:type="dxa"/>
            <w:vMerge w:val="continue"/>
            <w:tcBorders>
              <w:right w:val="single" w:color="auto" w:sz="4" w:space="0"/>
            </w:tcBorders>
            <w:noWrap w:val="0"/>
            <w:vAlign w:val="center"/>
          </w:tcPr>
          <w:p w14:paraId="5135528B">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5CC5EA73">
            <w:pPr>
              <w:widowControl/>
              <w:wordWrap w:val="0"/>
              <w:spacing w:line="440" w:lineRule="exact"/>
              <w:jc w:val="center"/>
              <w:rPr>
                <w:rFonts w:ascii="宋体" w:eastAsia="宋体"/>
                <w:b/>
                <w:bCs/>
                <w:color w:val="auto"/>
                <w:kern w:val="0"/>
                <w:szCs w:val="21"/>
                <w:highlight w:val="none"/>
                <w:lang w:val="zh-CN"/>
              </w:rPr>
            </w:pPr>
            <w:r>
              <w:rPr>
                <w:rFonts w:ascii="宋体" w:eastAsia="宋体"/>
                <w:b/>
                <w:bCs/>
                <w:color w:val="auto"/>
                <w:kern w:val="0"/>
                <w:szCs w:val="21"/>
                <w:highlight w:val="none"/>
                <w:lang w:val="zh-CN"/>
              </w:rPr>
              <w:t>质量</w:t>
            </w:r>
            <w:r>
              <w:rPr>
                <w:rFonts w:ascii="宋体" w:eastAsia="宋体"/>
                <w:b/>
                <w:bCs/>
                <w:color w:val="auto"/>
                <w:kern w:val="0"/>
                <w:szCs w:val="21"/>
                <w:highlight w:val="none"/>
              </w:rPr>
              <w:t>保障体系与措施</w:t>
            </w:r>
            <w:r>
              <w:rPr>
                <w:rFonts w:ascii="宋体" w:eastAsia="宋体"/>
                <w:b/>
                <w:bCs/>
                <w:color w:val="auto"/>
                <w:kern w:val="0"/>
                <w:szCs w:val="21"/>
                <w:highlight w:val="none"/>
                <w:lang w:val="zh-CN"/>
              </w:rPr>
              <w:t>（</w:t>
            </w:r>
            <w:r>
              <w:rPr>
                <w:rFonts w:ascii="宋体"/>
                <w:b/>
                <w:bCs/>
                <w:color w:val="auto"/>
                <w:kern w:val="0"/>
                <w:szCs w:val="21"/>
                <w:highlight w:val="none"/>
              </w:rPr>
              <w:t>10</w:t>
            </w:r>
            <w:r>
              <w:rPr>
                <w:rFonts w:ascii="宋体" w:eastAsia="宋体"/>
                <w:b/>
                <w:bCs/>
                <w:color w:val="auto"/>
                <w:kern w:val="0"/>
                <w:szCs w:val="21"/>
                <w:highlight w:val="none"/>
              </w:rPr>
              <w:t>分）</w:t>
            </w:r>
          </w:p>
        </w:tc>
        <w:tc>
          <w:tcPr>
            <w:tcW w:w="5567" w:type="dxa"/>
            <w:tcBorders>
              <w:left w:val="single" w:color="auto" w:sz="4" w:space="0"/>
            </w:tcBorders>
            <w:noWrap w:val="0"/>
            <w:vAlign w:val="center"/>
          </w:tcPr>
          <w:p w14:paraId="160ED1D5">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1、质量保障措施紧密结合本项目特点。措施全面具体、 具有较强的科学性与实际可操作性的得 10 分；</w:t>
            </w:r>
          </w:p>
          <w:p w14:paraId="5DEB9EA3">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 措施完整，具有一定可操作性的得7分；</w:t>
            </w:r>
          </w:p>
          <w:p w14:paraId="59266846">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3、措施不完整，可实施性较差得3分</w:t>
            </w:r>
          </w:p>
          <w:p w14:paraId="20C18FC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4、缺项不得分。</w:t>
            </w:r>
          </w:p>
        </w:tc>
      </w:tr>
      <w:tr w14:paraId="2848E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55" w:hRule="atLeast"/>
        </w:trPr>
        <w:tc>
          <w:tcPr>
            <w:tcW w:w="1748" w:type="dxa"/>
            <w:vMerge w:val="continue"/>
            <w:tcBorders>
              <w:right w:val="single" w:color="auto" w:sz="4" w:space="0"/>
            </w:tcBorders>
            <w:noWrap w:val="0"/>
            <w:vAlign w:val="center"/>
          </w:tcPr>
          <w:p w14:paraId="34B4C738">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032BFD09">
            <w:pPr>
              <w:spacing w:line="360" w:lineRule="auto"/>
              <w:jc w:val="center"/>
              <w:rPr>
                <w:rFonts w:ascii="宋体" w:hAnsi="宋体"/>
                <w:b/>
                <w:bCs/>
                <w:color w:val="auto"/>
                <w:szCs w:val="21"/>
                <w:highlight w:val="none"/>
              </w:rPr>
            </w:pPr>
            <w:r>
              <w:rPr>
                <w:rFonts w:ascii="宋体" w:hAnsi="宋体"/>
                <w:b/>
                <w:bCs/>
                <w:color w:val="auto"/>
                <w:szCs w:val="21"/>
                <w:highlight w:val="none"/>
              </w:rPr>
              <w:t>项目进度</w:t>
            </w:r>
            <w:r>
              <w:rPr>
                <w:rFonts w:ascii="宋体" w:hAnsi="宋体"/>
                <w:b/>
                <w:bCs/>
                <w:color w:val="auto"/>
                <w:szCs w:val="21"/>
                <w:highlight w:val="none"/>
                <w:lang w:val="zh-CN"/>
              </w:rPr>
              <w:t>计划及保障措施</w:t>
            </w:r>
          </w:p>
          <w:p w14:paraId="0698A6BA">
            <w:pPr>
              <w:spacing w:line="360" w:lineRule="auto"/>
              <w:jc w:val="center"/>
              <w:rPr>
                <w:rFonts w:ascii="宋体" w:hAnsi="宋体"/>
                <w:b/>
                <w:bCs/>
                <w:color w:val="auto"/>
                <w:szCs w:val="21"/>
                <w:highlight w:val="none"/>
                <w:lang w:val="zh-CN"/>
              </w:rPr>
            </w:pPr>
            <w:r>
              <w:rPr>
                <w:rFonts w:ascii="宋体" w:hAnsi="宋体"/>
                <w:b/>
                <w:bCs/>
                <w:color w:val="auto"/>
                <w:szCs w:val="21"/>
                <w:highlight w:val="none"/>
                <w:lang w:val="zh-CN"/>
              </w:rPr>
              <w:t>（</w:t>
            </w:r>
            <w:r>
              <w:rPr>
                <w:rFonts w:ascii="宋体" w:hAnsi="宋体"/>
                <w:b/>
                <w:bCs/>
                <w:color w:val="auto"/>
                <w:szCs w:val="21"/>
                <w:highlight w:val="none"/>
              </w:rPr>
              <w:t>10分）</w:t>
            </w:r>
          </w:p>
        </w:tc>
        <w:tc>
          <w:tcPr>
            <w:tcW w:w="5567" w:type="dxa"/>
            <w:tcBorders>
              <w:left w:val="single" w:color="auto" w:sz="4" w:space="0"/>
            </w:tcBorders>
            <w:noWrap w:val="0"/>
            <w:vAlign w:val="center"/>
          </w:tcPr>
          <w:p w14:paraId="40287F3E">
            <w:pPr>
              <w:spacing w:line="360" w:lineRule="auto"/>
              <w:ind w:firstLine="420" w:firstLineChars="200"/>
              <w:rPr>
                <w:rFonts w:ascii="宋体" w:hAnsi="宋体" w:eastAsia="宋体"/>
                <w:color w:val="auto"/>
                <w:szCs w:val="21"/>
                <w:highlight w:val="none"/>
              </w:rPr>
            </w:pPr>
            <w:r>
              <w:rPr>
                <w:rFonts w:ascii="宋体" w:hAnsi="宋体" w:eastAsia="宋体"/>
                <w:color w:val="auto"/>
                <w:szCs w:val="21"/>
                <w:highlight w:val="none"/>
              </w:rPr>
              <w:t>根据供应商提供的进度保证措施，时间安排，进度控制计划、成果交付时效等项目进度</w:t>
            </w:r>
            <w:r>
              <w:rPr>
                <w:rFonts w:ascii="宋体" w:hAnsi="宋体" w:eastAsia="宋体"/>
                <w:color w:val="auto"/>
                <w:szCs w:val="21"/>
                <w:highlight w:val="none"/>
                <w:lang w:val="zh-CN"/>
              </w:rPr>
              <w:t>计划及保障措施</w:t>
            </w:r>
            <w:r>
              <w:rPr>
                <w:rFonts w:ascii="宋体" w:hAnsi="宋体"/>
                <w:color w:val="auto"/>
                <w:szCs w:val="21"/>
                <w:highlight w:val="none"/>
              </w:rPr>
              <w:t>进行评审：</w:t>
            </w:r>
          </w:p>
          <w:p w14:paraId="0604297F">
            <w:pPr>
              <w:spacing w:line="360" w:lineRule="auto"/>
              <w:ind w:firstLine="420" w:firstLineChars="200"/>
              <w:rPr>
                <w:rFonts w:ascii="宋体" w:hAnsi="宋体"/>
                <w:color w:val="auto"/>
                <w:szCs w:val="21"/>
                <w:highlight w:val="none"/>
              </w:rPr>
            </w:pPr>
            <w:r>
              <w:rPr>
                <w:rFonts w:ascii="宋体" w:hAnsi="宋体"/>
                <w:color w:val="auto"/>
                <w:szCs w:val="21"/>
                <w:highlight w:val="none"/>
              </w:rPr>
              <w:t>1、进度</w:t>
            </w:r>
            <w:r>
              <w:rPr>
                <w:rFonts w:ascii="宋体" w:hAnsi="宋体"/>
                <w:color w:val="auto"/>
                <w:szCs w:val="21"/>
                <w:highlight w:val="none"/>
                <w:lang w:val="zh-CN"/>
              </w:rPr>
              <w:t>计划</w:t>
            </w:r>
            <w:r>
              <w:rPr>
                <w:rFonts w:ascii="宋体" w:hAnsi="宋体"/>
                <w:color w:val="auto"/>
                <w:szCs w:val="21"/>
                <w:highlight w:val="none"/>
              </w:rPr>
              <w:t>全面详实、科学合理、可行性强、针对性强。保障措施针对出现影响本项目进度的突发事件有完备的应对措施且科学合理、切实可行，能够保障项目进度正常进行的，得10分；</w:t>
            </w:r>
          </w:p>
          <w:p w14:paraId="23B59EC7">
            <w:pPr>
              <w:spacing w:line="360" w:lineRule="auto"/>
              <w:ind w:firstLine="420" w:firstLineChars="200"/>
              <w:rPr>
                <w:rFonts w:ascii="宋体" w:hAnsi="宋体"/>
                <w:color w:val="auto"/>
                <w:szCs w:val="21"/>
                <w:highlight w:val="none"/>
              </w:rPr>
            </w:pPr>
            <w:r>
              <w:rPr>
                <w:rFonts w:ascii="宋体" w:hAnsi="宋体"/>
                <w:color w:val="auto"/>
                <w:szCs w:val="21"/>
                <w:highlight w:val="none"/>
              </w:rPr>
              <w:t>2、进度</w:t>
            </w:r>
            <w:r>
              <w:rPr>
                <w:rFonts w:ascii="宋体" w:hAnsi="宋体"/>
                <w:color w:val="auto"/>
                <w:szCs w:val="21"/>
                <w:highlight w:val="none"/>
                <w:lang w:val="zh-CN"/>
              </w:rPr>
              <w:t>计划</w:t>
            </w:r>
            <w:r>
              <w:rPr>
                <w:rFonts w:ascii="宋体" w:hAnsi="宋体"/>
                <w:color w:val="auto"/>
                <w:szCs w:val="21"/>
                <w:highlight w:val="none"/>
              </w:rPr>
              <w:t>基本全面、基本合理、基本可行、具有针对性。保障措施合理、可行，针对出现影响本项目进度的突发事件有应对措施，虽然能够保障项目进度正常进行，但有个别地方需要进一步完善的，得7分；</w:t>
            </w:r>
          </w:p>
          <w:p w14:paraId="7B32CF47">
            <w:pPr>
              <w:spacing w:line="360" w:lineRule="auto"/>
              <w:ind w:firstLine="420" w:firstLineChars="200"/>
              <w:rPr>
                <w:rFonts w:ascii="宋体" w:hAnsi="宋体"/>
                <w:color w:val="auto"/>
                <w:szCs w:val="21"/>
                <w:highlight w:val="none"/>
              </w:rPr>
            </w:pPr>
            <w:r>
              <w:rPr>
                <w:rFonts w:ascii="宋体" w:hAnsi="宋体"/>
                <w:color w:val="auto"/>
                <w:szCs w:val="21"/>
                <w:highlight w:val="none"/>
              </w:rPr>
              <w:t>3、进度</w:t>
            </w:r>
            <w:r>
              <w:rPr>
                <w:rFonts w:ascii="宋体" w:hAnsi="宋体"/>
                <w:color w:val="auto"/>
                <w:szCs w:val="21"/>
                <w:highlight w:val="none"/>
                <w:lang w:val="zh-CN"/>
              </w:rPr>
              <w:t>计划</w:t>
            </w:r>
            <w:r>
              <w:rPr>
                <w:rFonts w:ascii="宋体" w:hAnsi="宋体"/>
                <w:color w:val="auto"/>
                <w:szCs w:val="21"/>
                <w:highlight w:val="none"/>
              </w:rPr>
              <w:t>内容粗略、基本可行、针对性较差。针对出现影响本项目进度的突发事件有应对措施，虽然能够保障项目进度正常进行，但有很多方面需要进一步完善甚至重新考虑的，得3分；</w:t>
            </w:r>
          </w:p>
          <w:p w14:paraId="56229414">
            <w:pPr>
              <w:spacing w:line="360" w:lineRule="auto"/>
              <w:ind w:firstLine="420" w:firstLineChars="200"/>
              <w:rPr>
                <w:rFonts w:ascii="宋体" w:hAnsi="宋体"/>
                <w:color w:val="auto"/>
                <w:szCs w:val="21"/>
                <w:highlight w:val="none"/>
              </w:rPr>
            </w:pPr>
            <w:r>
              <w:rPr>
                <w:rFonts w:ascii="宋体" w:hAnsi="宋体"/>
                <w:color w:val="auto"/>
                <w:szCs w:val="21"/>
                <w:highlight w:val="none"/>
              </w:rPr>
              <w:t>4、未提供者不得分。</w:t>
            </w:r>
          </w:p>
        </w:tc>
      </w:tr>
      <w:tr w14:paraId="4E553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040" w:hRule="atLeast"/>
        </w:trPr>
        <w:tc>
          <w:tcPr>
            <w:tcW w:w="1748" w:type="dxa"/>
            <w:vMerge w:val="continue"/>
            <w:tcBorders>
              <w:right w:val="single" w:color="auto" w:sz="4" w:space="0"/>
            </w:tcBorders>
            <w:noWrap w:val="0"/>
            <w:vAlign w:val="center"/>
          </w:tcPr>
          <w:p w14:paraId="2AE802FC">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6BB83150">
            <w:pPr>
              <w:spacing w:line="360" w:lineRule="auto"/>
              <w:jc w:val="center"/>
              <w:rPr>
                <w:rFonts w:ascii="宋体" w:hAnsi="宋体"/>
                <w:b/>
                <w:bCs/>
                <w:color w:val="auto"/>
                <w:szCs w:val="21"/>
                <w:highlight w:val="none"/>
              </w:rPr>
            </w:pPr>
            <w:r>
              <w:rPr>
                <w:rFonts w:ascii="宋体" w:hAnsi="宋体"/>
                <w:b/>
                <w:bCs/>
                <w:color w:val="auto"/>
                <w:szCs w:val="21"/>
                <w:highlight w:val="none"/>
              </w:rPr>
              <w:t>管理体系及服务团队配备（10分）</w:t>
            </w:r>
          </w:p>
        </w:tc>
        <w:tc>
          <w:tcPr>
            <w:tcW w:w="5567" w:type="dxa"/>
            <w:tcBorders>
              <w:left w:val="single" w:color="auto" w:sz="4" w:space="0"/>
            </w:tcBorders>
            <w:noWrap w:val="0"/>
            <w:vAlign w:val="center"/>
          </w:tcPr>
          <w:p w14:paraId="4457BD30">
            <w:pPr>
              <w:spacing w:line="360" w:lineRule="auto"/>
              <w:ind w:firstLine="420" w:firstLineChars="200"/>
              <w:rPr>
                <w:rFonts w:ascii="宋体" w:hAnsi="宋体" w:eastAsia="宋体"/>
                <w:color w:val="auto"/>
                <w:szCs w:val="21"/>
                <w:highlight w:val="none"/>
              </w:rPr>
            </w:pPr>
            <w:r>
              <w:rPr>
                <w:rFonts w:ascii="宋体" w:hAnsi="宋体" w:eastAsia="宋体"/>
                <w:color w:val="auto"/>
                <w:szCs w:val="21"/>
                <w:highlight w:val="none"/>
              </w:rPr>
              <w:t>根据供应商提供的</w:t>
            </w:r>
            <w:r>
              <w:rPr>
                <w:rFonts w:ascii="宋体" w:hAnsi="宋体"/>
                <w:color w:val="auto"/>
                <w:szCs w:val="21"/>
                <w:highlight w:val="none"/>
              </w:rPr>
              <w:t>管理体系、人员分工及职责等管理体系及服务团队配备</w:t>
            </w:r>
            <w:r>
              <w:rPr>
                <w:rFonts w:ascii="宋体" w:hAnsi="宋体" w:eastAsia="宋体"/>
                <w:color w:val="auto"/>
                <w:szCs w:val="21"/>
                <w:highlight w:val="none"/>
              </w:rPr>
              <w:t>进行评审：</w:t>
            </w:r>
          </w:p>
          <w:p w14:paraId="3F5440FA">
            <w:pPr>
              <w:spacing w:line="360" w:lineRule="auto"/>
              <w:ind w:firstLine="420" w:firstLineChars="200"/>
              <w:rPr>
                <w:rFonts w:ascii="宋体" w:hAnsi="宋体"/>
                <w:color w:val="auto"/>
                <w:szCs w:val="21"/>
                <w:highlight w:val="none"/>
              </w:rPr>
            </w:pPr>
            <w:r>
              <w:rPr>
                <w:rFonts w:ascii="宋体" w:hAnsi="宋体"/>
                <w:color w:val="auto"/>
                <w:szCs w:val="21"/>
                <w:highlight w:val="none"/>
              </w:rPr>
              <w:t>1、管理体系、措施全面详实、科学合理、切实可行，人员分工明确、职责清晰，满足本项目需求的，得10分；</w:t>
            </w:r>
          </w:p>
          <w:p w14:paraId="783219B2">
            <w:pPr>
              <w:spacing w:line="360" w:lineRule="auto"/>
              <w:ind w:firstLine="420" w:firstLineChars="200"/>
              <w:rPr>
                <w:rFonts w:ascii="宋体" w:hAnsi="宋体"/>
                <w:color w:val="auto"/>
                <w:szCs w:val="21"/>
                <w:highlight w:val="none"/>
              </w:rPr>
            </w:pPr>
            <w:r>
              <w:rPr>
                <w:rFonts w:ascii="宋体" w:hAnsi="宋体"/>
                <w:color w:val="auto"/>
                <w:szCs w:val="21"/>
                <w:highlight w:val="none"/>
              </w:rPr>
              <w:t>2、管理体系、措施基本全面、基本合理、基本可行，人员分工及职责较清晰，虽然能够满足本项目需要，但有个别地方需要进一步完善的，得7分；</w:t>
            </w:r>
          </w:p>
          <w:p w14:paraId="44D25B9D">
            <w:pPr>
              <w:spacing w:line="360" w:lineRule="auto"/>
              <w:ind w:firstLine="420" w:firstLineChars="200"/>
              <w:rPr>
                <w:rFonts w:ascii="宋体" w:hAnsi="宋体"/>
                <w:color w:val="auto"/>
                <w:szCs w:val="21"/>
                <w:highlight w:val="none"/>
              </w:rPr>
            </w:pPr>
            <w:r>
              <w:rPr>
                <w:rFonts w:ascii="宋体" w:hAnsi="宋体"/>
                <w:color w:val="auto"/>
                <w:szCs w:val="21"/>
                <w:highlight w:val="none"/>
              </w:rPr>
              <w:t>3、管理体系、措施描述粗略、人员分工及职责不清晰，虽然能够基本满足本项目需要，但有很多方面需要进一步完善甚至重新考虑的，得3分。</w:t>
            </w:r>
          </w:p>
          <w:p w14:paraId="7DFE2B9D">
            <w:pPr>
              <w:spacing w:line="360" w:lineRule="auto"/>
              <w:ind w:firstLine="420" w:firstLineChars="200"/>
              <w:rPr>
                <w:rFonts w:ascii="宋体" w:hAnsi="宋体"/>
                <w:color w:val="auto"/>
                <w:szCs w:val="21"/>
                <w:highlight w:val="none"/>
              </w:rPr>
            </w:pPr>
            <w:r>
              <w:rPr>
                <w:rFonts w:ascii="宋体" w:hAnsi="宋体"/>
                <w:color w:val="auto"/>
                <w:szCs w:val="21"/>
                <w:highlight w:val="none"/>
              </w:rPr>
              <w:t>4、未提供者不得分。</w:t>
            </w:r>
          </w:p>
        </w:tc>
      </w:tr>
      <w:tr w14:paraId="17591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211" w:hRule="atLeast"/>
        </w:trPr>
        <w:tc>
          <w:tcPr>
            <w:tcW w:w="1748" w:type="dxa"/>
            <w:vMerge w:val="continue"/>
            <w:tcBorders>
              <w:right w:val="single" w:color="auto" w:sz="4" w:space="0"/>
            </w:tcBorders>
            <w:noWrap w:val="0"/>
            <w:vAlign w:val="center"/>
          </w:tcPr>
          <w:p w14:paraId="0D27B5C3">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73BBD6EC">
            <w:pPr>
              <w:spacing w:line="360" w:lineRule="auto"/>
              <w:jc w:val="center"/>
              <w:rPr>
                <w:rFonts w:ascii="宋体" w:hAnsi="宋体"/>
                <w:b/>
                <w:bCs/>
                <w:color w:val="auto"/>
                <w:szCs w:val="21"/>
                <w:highlight w:val="none"/>
              </w:rPr>
            </w:pPr>
            <w:r>
              <w:rPr>
                <w:rFonts w:hint="eastAsia" w:ascii="宋体" w:hAnsi="宋体"/>
                <w:b/>
                <w:bCs/>
                <w:color w:val="auto"/>
                <w:szCs w:val="21"/>
                <w:highlight w:val="none"/>
                <w:lang w:val="en-US" w:eastAsia="zh-CN"/>
              </w:rPr>
              <w:t>成果适用性</w:t>
            </w:r>
            <w:r>
              <w:rPr>
                <w:rFonts w:ascii="宋体" w:hAnsi="宋体"/>
                <w:b/>
                <w:bCs/>
                <w:color w:val="auto"/>
                <w:szCs w:val="21"/>
                <w:highlight w:val="none"/>
              </w:rPr>
              <w:t>（8分）</w:t>
            </w:r>
          </w:p>
          <w:p w14:paraId="450F03E0">
            <w:pPr>
              <w:spacing w:line="360" w:lineRule="auto"/>
              <w:jc w:val="center"/>
              <w:rPr>
                <w:rFonts w:ascii="宋体" w:hAnsi="宋体" w:eastAsia="宋体"/>
                <w:color w:val="auto"/>
                <w:sz w:val="24"/>
                <w:highlight w:val="none"/>
              </w:rPr>
            </w:pPr>
          </w:p>
        </w:tc>
        <w:tc>
          <w:tcPr>
            <w:tcW w:w="5567" w:type="dxa"/>
            <w:tcBorders>
              <w:left w:val="single" w:color="auto" w:sz="4" w:space="0"/>
            </w:tcBorders>
            <w:noWrap w:val="0"/>
            <w:vAlign w:val="center"/>
          </w:tcPr>
          <w:p w14:paraId="2E012657">
            <w:pPr>
              <w:spacing w:line="360" w:lineRule="auto"/>
              <w:ind w:firstLine="420" w:firstLineChars="200"/>
              <w:rPr>
                <w:rFonts w:ascii="宋体" w:hAnsi="宋体"/>
                <w:color w:val="auto"/>
                <w:szCs w:val="21"/>
                <w:highlight w:val="none"/>
              </w:rPr>
            </w:pPr>
            <w:r>
              <w:rPr>
                <w:rFonts w:ascii="宋体" w:hAnsi="宋体"/>
                <w:color w:val="auto"/>
                <w:szCs w:val="21"/>
                <w:highlight w:val="none"/>
              </w:rPr>
              <w:t>根据供应商提供的</w:t>
            </w:r>
            <w:r>
              <w:rPr>
                <w:rFonts w:hint="eastAsia" w:ascii="宋体" w:hAnsi="宋体"/>
                <w:color w:val="auto"/>
                <w:szCs w:val="21"/>
                <w:highlight w:val="none"/>
                <w:lang w:val="en-US" w:eastAsia="zh-CN"/>
              </w:rPr>
              <w:t>成果适用性</w:t>
            </w:r>
            <w:r>
              <w:rPr>
                <w:rFonts w:ascii="宋体" w:hAnsi="宋体"/>
                <w:color w:val="auto"/>
                <w:szCs w:val="21"/>
                <w:highlight w:val="none"/>
              </w:rPr>
              <w:t>进行评审：</w:t>
            </w:r>
          </w:p>
          <w:p w14:paraId="137591B6">
            <w:pPr>
              <w:numPr>
                <w:ilvl w:val="0"/>
                <w:numId w:val="5"/>
              </w:num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成果文件贴合实际要求，科学合理，符合土地评估政策和规范要求，得8分。</w:t>
            </w:r>
          </w:p>
          <w:p w14:paraId="4472B9D6">
            <w:pPr>
              <w:numPr>
                <w:ilvl w:val="0"/>
                <w:numId w:val="5"/>
              </w:num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成果文件基本合理，基本符合土地评估政策和规范要求，得4 分。</w:t>
            </w:r>
          </w:p>
          <w:p w14:paraId="355ADB40">
            <w:pPr>
              <w:numPr>
                <w:ilvl w:val="0"/>
                <w:numId w:val="5"/>
              </w:num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成果文件不合理，不符合实际要求，得 2 分；</w:t>
            </w:r>
          </w:p>
          <w:p w14:paraId="0B4E6AA1">
            <w:pPr>
              <w:numPr>
                <w:ilvl w:val="0"/>
                <w:numId w:val="5"/>
              </w:numPr>
              <w:spacing w:line="360" w:lineRule="auto"/>
              <w:ind w:firstLine="420" w:firstLineChars="200"/>
              <w:rPr>
                <w:rFonts w:ascii="宋体" w:hAnsi="宋体"/>
                <w:color w:val="auto"/>
                <w:szCs w:val="21"/>
                <w:highlight w:val="none"/>
              </w:rPr>
            </w:pPr>
            <w:r>
              <w:rPr>
                <w:rFonts w:hint="eastAsia" w:ascii="宋体" w:hAnsi="宋体"/>
                <w:color w:val="auto"/>
                <w:szCs w:val="21"/>
                <w:highlight w:val="none"/>
                <w:lang w:val="en-US" w:eastAsia="zh-CN"/>
              </w:rPr>
              <w:t>缺项不得分。</w:t>
            </w:r>
          </w:p>
        </w:tc>
      </w:tr>
      <w:tr w14:paraId="17796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211" w:hRule="atLeast"/>
        </w:trPr>
        <w:tc>
          <w:tcPr>
            <w:tcW w:w="1748" w:type="dxa"/>
            <w:vMerge w:val="continue"/>
            <w:tcBorders>
              <w:right w:val="single" w:color="auto" w:sz="4" w:space="0"/>
            </w:tcBorders>
            <w:noWrap w:val="0"/>
            <w:vAlign w:val="center"/>
          </w:tcPr>
          <w:p w14:paraId="6E71C3AC">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center"/>
          </w:tcPr>
          <w:p w14:paraId="5AB60FEB">
            <w:pPr>
              <w:widowControl/>
              <w:wordWrap w:val="0"/>
              <w:spacing w:line="440" w:lineRule="exact"/>
              <w:jc w:val="center"/>
              <w:rPr>
                <w:rFonts w:ascii="宋体"/>
                <w:b/>
                <w:bCs/>
                <w:color w:val="auto"/>
                <w:szCs w:val="21"/>
                <w:highlight w:val="none"/>
              </w:rPr>
            </w:pPr>
            <w:r>
              <w:rPr>
                <w:rFonts w:ascii="宋体"/>
                <w:b/>
                <w:bCs/>
                <w:color w:val="auto"/>
                <w:szCs w:val="21"/>
                <w:highlight w:val="none"/>
              </w:rPr>
              <w:t>服务承诺（6分）</w:t>
            </w:r>
          </w:p>
        </w:tc>
        <w:tc>
          <w:tcPr>
            <w:tcW w:w="5567" w:type="dxa"/>
            <w:tcBorders>
              <w:left w:val="single" w:color="auto" w:sz="4" w:space="0"/>
            </w:tcBorders>
            <w:noWrap w:val="0"/>
            <w:vAlign w:val="center"/>
          </w:tcPr>
          <w:p w14:paraId="32228383">
            <w:pPr>
              <w:spacing w:line="360" w:lineRule="auto"/>
              <w:ind w:firstLine="420" w:firstLineChars="200"/>
              <w:rPr>
                <w:rFonts w:ascii="宋体" w:hAnsi="宋体"/>
                <w:color w:val="auto"/>
                <w:szCs w:val="21"/>
                <w:highlight w:val="none"/>
              </w:rPr>
            </w:pPr>
            <w:r>
              <w:rPr>
                <w:rFonts w:ascii="宋体" w:hAnsi="宋体"/>
                <w:color w:val="auto"/>
                <w:szCs w:val="21"/>
                <w:highlight w:val="none"/>
              </w:rPr>
              <w:t>根据供应商提供的服务承诺进行评审：</w:t>
            </w:r>
          </w:p>
          <w:p w14:paraId="6E992A9E">
            <w:pPr>
              <w:spacing w:line="360" w:lineRule="auto"/>
              <w:ind w:firstLine="420" w:firstLineChars="200"/>
              <w:rPr>
                <w:rFonts w:ascii="宋体" w:hAnsi="宋体"/>
                <w:color w:val="auto"/>
                <w:szCs w:val="21"/>
                <w:highlight w:val="none"/>
              </w:rPr>
            </w:pPr>
            <w:r>
              <w:rPr>
                <w:rFonts w:ascii="宋体" w:hAnsi="宋体"/>
                <w:color w:val="auto"/>
                <w:szCs w:val="21"/>
                <w:highlight w:val="none"/>
              </w:rPr>
              <w:t>1、服务承诺内容科学合理、贴合本项目实际需求，切实可行得6分；</w:t>
            </w:r>
          </w:p>
          <w:p w14:paraId="42BAC8DE">
            <w:pPr>
              <w:spacing w:line="360" w:lineRule="auto"/>
              <w:ind w:firstLine="420" w:firstLineChars="200"/>
              <w:rPr>
                <w:rFonts w:ascii="宋体" w:hAnsi="宋体"/>
                <w:color w:val="auto"/>
                <w:szCs w:val="21"/>
                <w:highlight w:val="none"/>
              </w:rPr>
            </w:pPr>
            <w:r>
              <w:rPr>
                <w:rFonts w:ascii="宋体" w:hAnsi="宋体"/>
                <w:color w:val="auto"/>
                <w:szCs w:val="21"/>
                <w:highlight w:val="none"/>
              </w:rPr>
              <w:t>2、服务承诺内容基本合理、基本贴合本项目实际需求、基本可行的，得3分；</w:t>
            </w:r>
          </w:p>
          <w:p w14:paraId="23108251">
            <w:pPr>
              <w:spacing w:line="360" w:lineRule="auto"/>
              <w:ind w:firstLine="420" w:firstLineChars="200"/>
              <w:rPr>
                <w:rFonts w:ascii="宋体" w:hAnsi="宋体"/>
                <w:color w:val="auto"/>
                <w:szCs w:val="21"/>
                <w:highlight w:val="none"/>
              </w:rPr>
            </w:pPr>
            <w:r>
              <w:rPr>
                <w:rFonts w:ascii="宋体" w:hAnsi="宋体"/>
                <w:color w:val="auto"/>
                <w:szCs w:val="21"/>
                <w:highlight w:val="none"/>
              </w:rPr>
              <w:t>3、服务承诺内容内容粗略，不贴合本项目实际需求，得1分。</w:t>
            </w:r>
          </w:p>
          <w:p w14:paraId="64490A44">
            <w:pPr>
              <w:spacing w:line="360" w:lineRule="auto"/>
              <w:ind w:firstLine="420" w:firstLineChars="200"/>
              <w:rPr>
                <w:rFonts w:ascii="宋体" w:hAnsi="宋体"/>
                <w:color w:val="auto"/>
                <w:szCs w:val="21"/>
                <w:highlight w:val="none"/>
              </w:rPr>
            </w:pPr>
            <w:r>
              <w:rPr>
                <w:rFonts w:ascii="宋体" w:hAnsi="宋体"/>
                <w:color w:val="auto"/>
                <w:szCs w:val="21"/>
                <w:highlight w:val="none"/>
              </w:rPr>
              <w:t>4、未提供者不得分。</w:t>
            </w:r>
          </w:p>
        </w:tc>
      </w:tr>
      <w:tr w14:paraId="747DA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881" w:hRule="atLeast"/>
        </w:trPr>
        <w:tc>
          <w:tcPr>
            <w:tcW w:w="1748" w:type="dxa"/>
            <w:vMerge w:val="continue"/>
            <w:tcBorders>
              <w:right w:val="single" w:color="auto" w:sz="4" w:space="0"/>
            </w:tcBorders>
            <w:noWrap w:val="0"/>
            <w:vAlign w:val="center"/>
          </w:tcPr>
          <w:p w14:paraId="4F56A050">
            <w:pPr>
              <w:spacing w:line="276" w:lineRule="auto"/>
              <w:jc w:val="center"/>
              <w:rPr>
                <w:rFonts w:ascii="宋体" w:hAnsi="宋体" w:eastAsia="宋体"/>
                <w:b/>
                <w:color w:val="auto"/>
                <w:sz w:val="24"/>
                <w:highlight w:val="none"/>
              </w:rPr>
            </w:pPr>
          </w:p>
        </w:tc>
        <w:tc>
          <w:tcPr>
            <w:tcW w:w="1684" w:type="dxa"/>
            <w:tcBorders>
              <w:left w:val="single" w:color="auto" w:sz="4" w:space="0"/>
            </w:tcBorders>
            <w:noWrap w:val="0"/>
            <w:vAlign w:val="top"/>
          </w:tcPr>
          <w:p w14:paraId="2BE8F76A">
            <w:pPr>
              <w:spacing w:line="257" w:lineRule="auto"/>
              <w:rPr>
                <w:rFonts w:ascii="Arial"/>
                <w:color w:val="auto"/>
                <w:sz w:val="21"/>
                <w:highlight w:val="none"/>
              </w:rPr>
            </w:pPr>
          </w:p>
          <w:p w14:paraId="0E0F65AB">
            <w:pPr>
              <w:spacing w:line="257" w:lineRule="auto"/>
              <w:rPr>
                <w:rFonts w:ascii="Arial"/>
                <w:color w:val="auto"/>
                <w:sz w:val="21"/>
                <w:highlight w:val="none"/>
              </w:rPr>
            </w:pPr>
          </w:p>
          <w:p w14:paraId="4349035A">
            <w:pPr>
              <w:spacing w:line="257" w:lineRule="auto"/>
              <w:rPr>
                <w:rFonts w:ascii="Arial"/>
                <w:color w:val="auto"/>
                <w:sz w:val="21"/>
                <w:highlight w:val="none"/>
              </w:rPr>
            </w:pPr>
          </w:p>
          <w:p w14:paraId="0206E22E">
            <w:pPr>
              <w:spacing w:line="258" w:lineRule="auto"/>
              <w:jc w:val="center"/>
              <w:rPr>
                <w:rFonts w:ascii="Arial"/>
                <w:color w:val="auto"/>
                <w:sz w:val="21"/>
                <w:highlight w:val="none"/>
              </w:rPr>
            </w:pPr>
          </w:p>
          <w:p w14:paraId="06CDC5F7">
            <w:pPr>
              <w:pStyle w:val="94"/>
              <w:spacing w:before="65" w:line="445" w:lineRule="auto"/>
              <w:ind w:left="111" w:leftChars="0" w:right="103" w:rightChars="0" w:hanging="1" w:firstLineChars="0"/>
              <w:jc w:val="center"/>
              <w:rPr>
                <w:rFonts w:ascii="宋体"/>
                <w:b/>
                <w:bCs/>
                <w:color w:val="auto"/>
                <w:szCs w:val="21"/>
                <w:highlight w:val="none"/>
              </w:rPr>
            </w:pPr>
            <w:r>
              <w:rPr>
                <w:rFonts w:ascii="宋体" w:hAnsi="宋体" w:eastAsia="宋体" w:cs="Times New Roman"/>
                <w:b/>
                <w:bCs/>
                <w:color w:val="auto"/>
                <w:kern w:val="2"/>
                <w:sz w:val="21"/>
                <w:szCs w:val="21"/>
                <w:highlight w:val="none"/>
                <w:lang w:val="en-US" w:eastAsia="zh-CN" w:bidi="ar-SA"/>
              </w:rPr>
              <w:t>保密及应急措施（</w:t>
            </w:r>
            <w:r>
              <w:rPr>
                <w:rFonts w:hint="eastAsia" w:ascii="宋体" w:hAnsi="宋体" w:eastAsia="宋体" w:cs="Times New Roman"/>
                <w:b/>
                <w:bCs/>
                <w:color w:val="auto"/>
                <w:kern w:val="2"/>
                <w:sz w:val="21"/>
                <w:szCs w:val="21"/>
                <w:highlight w:val="none"/>
                <w:lang w:val="en-US" w:eastAsia="zh-CN" w:bidi="ar-SA"/>
              </w:rPr>
              <w:t>6</w:t>
            </w:r>
            <w:r>
              <w:rPr>
                <w:rFonts w:ascii="宋体" w:hAnsi="宋体" w:eastAsia="宋体" w:cs="Times New Roman"/>
                <w:b/>
                <w:bCs/>
                <w:color w:val="auto"/>
                <w:kern w:val="2"/>
                <w:sz w:val="21"/>
                <w:szCs w:val="21"/>
                <w:highlight w:val="none"/>
                <w:lang w:val="en-US" w:eastAsia="zh-CN" w:bidi="ar-SA"/>
              </w:rPr>
              <w:t>分）</w:t>
            </w:r>
          </w:p>
        </w:tc>
        <w:tc>
          <w:tcPr>
            <w:tcW w:w="5567" w:type="dxa"/>
            <w:tcBorders>
              <w:left w:val="single" w:color="auto" w:sz="4" w:space="0"/>
            </w:tcBorders>
            <w:noWrap w:val="0"/>
            <w:vAlign w:val="top"/>
          </w:tcPr>
          <w:p w14:paraId="554D5773">
            <w:pPr>
              <w:pStyle w:val="94"/>
              <w:keepNext w:val="0"/>
              <w:keepLines w:val="0"/>
              <w:pageBreakBefore w:val="0"/>
              <w:widowControl w:val="0"/>
              <w:kinsoku/>
              <w:wordWrap/>
              <w:overflowPunct/>
              <w:topLinePunct w:val="0"/>
              <w:autoSpaceDE/>
              <w:autoSpaceDN/>
              <w:bidi w:val="0"/>
              <w:adjustRightInd/>
              <w:snapToGrid/>
              <w:spacing w:line="335" w:lineRule="auto"/>
              <w:ind w:left="112" w:right="107" w:firstLine="433"/>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根据供应商提供的保密及应急措施进行评审：</w:t>
            </w:r>
          </w:p>
          <w:p w14:paraId="64AD0772">
            <w:pPr>
              <w:pStyle w:val="94"/>
              <w:keepNext w:val="0"/>
              <w:keepLines w:val="0"/>
              <w:pageBreakBefore w:val="0"/>
              <w:widowControl w:val="0"/>
              <w:kinsoku/>
              <w:wordWrap/>
              <w:overflowPunct/>
              <w:topLinePunct w:val="0"/>
              <w:autoSpaceDE/>
              <w:autoSpaceDN/>
              <w:bidi w:val="0"/>
              <w:adjustRightInd/>
              <w:snapToGrid/>
              <w:spacing w:line="335" w:lineRule="auto"/>
              <w:ind w:left="112" w:right="107" w:firstLine="433"/>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1.有完整的保密制度，且工作各阶段及成果保密措施切实 可行，针对数据泄露有完善的应急措施得 6 分；</w:t>
            </w:r>
          </w:p>
          <w:p w14:paraId="3CAEA36B">
            <w:pPr>
              <w:pStyle w:val="94"/>
              <w:keepNext w:val="0"/>
              <w:keepLines w:val="0"/>
              <w:pageBreakBefore w:val="0"/>
              <w:widowControl w:val="0"/>
              <w:kinsoku/>
              <w:wordWrap/>
              <w:overflowPunct/>
              <w:topLinePunct w:val="0"/>
              <w:autoSpaceDE/>
              <w:autoSpaceDN/>
              <w:bidi w:val="0"/>
              <w:adjustRightInd/>
              <w:snapToGrid/>
              <w:spacing w:line="336" w:lineRule="auto"/>
              <w:ind w:left="110" w:right="107" w:firstLine="422"/>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2.有完整的保密制度，工作各阶段及成果保密措施及应急 措施基本可行得4 分；</w:t>
            </w:r>
          </w:p>
          <w:p w14:paraId="212B5739">
            <w:pPr>
              <w:pStyle w:val="94"/>
              <w:keepNext w:val="0"/>
              <w:keepLines w:val="0"/>
              <w:pageBreakBefore w:val="0"/>
              <w:widowControl w:val="0"/>
              <w:kinsoku/>
              <w:wordWrap/>
              <w:overflowPunct/>
              <w:topLinePunct w:val="0"/>
              <w:autoSpaceDE/>
              <w:autoSpaceDN/>
              <w:bidi w:val="0"/>
              <w:adjustRightInd/>
              <w:snapToGrid/>
              <w:spacing w:line="228" w:lineRule="auto"/>
              <w:ind w:left="534"/>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3.保密制度及保密措施及应急措施一般可行的得2 分。</w:t>
            </w:r>
          </w:p>
          <w:p w14:paraId="36690AF1">
            <w:pPr>
              <w:pStyle w:val="94"/>
              <w:keepNext w:val="0"/>
              <w:keepLines w:val="0"/>
              <w:pageBreakBefore w:val="0"/>
              <w:widowControl w:val="0"/>
              <w:kinsoku/>
              <w:wordWrap/>
              <w:overflowPunct/>
              <w:topLinePunct w:val="0"/>
              <w:autoSpaceDE/>
              <w:autoSpaceDN/>
              <w:bidi w:val="0"/>
              <w:adjustRightInd/>
              <w:snapToGrid/>
              <w:spacing w:line="336" w:lineRule="auto"/>
              <w:ind w:left="112" w:leftChars="0" w:right="107" w:rightChars="0" w:firstLine="417" w:firstLineChars="0"/>
              <w:textAlignment w:val="auto"/>
              <w:rPr>
                <w:rFonts w:ascii="宋体" w:hAnsi="宋体"/>
                <w:color w:val="auto"/>
                <w:szCs w:val="21"/>
                <w:highlight w:val="none"/>
              </w:rPr>
            </w:pPr>
            <w:r>
              <w:rPr>
                <w:rFonts w:hint="eastAsia" w:ascii="宋体" w:hAnsi="宋体" w:eastAsia="宋体" w:cs="Times New Roman"/>
                <w:color w:val="auto"/>
                <w:kern w:val="2"/>
                <w:sz w:val="21"/>
                <w:szCs w:val="21"/>
                <w:highlight w:val="none"/>
                <w:lang w:val="en-US" w:eastAsia="zh-CN" w:bidi="ar-SA"/>
              </w:rPr>
              <w:t>4.未提供者不得分。</w:t>
            </w:r>
          </w:p>
        </w:tc>
      </w:tr>
    </w:tbl>
    <w:p w14:paraId="0B6837BD">
      <w:pPr>
        <w:spacing w:line="360" w:lineRule="auto"/>
        <w:ind w:firstLine="354" w:firstLineChars="147"/>
        <w:rPr>
          <w:rFonts w:hint="eastAsia" w:ascii="宋体" w:hAnsi="宋体"/>
          <w:b/>
          <w:color w:val="auto"/>
          <w:sz w:val="24"/>
          <w:highlight w:val="none"/>
        </w:rPr>
      </w:pPr>
      <w:r>
        <w:rPr>
          <w:rFonts w:hint="eastAsia" w:ascii="宋体" w:hAnsi="宋体"/>
          <w:b/>
          <w:color w:val="auto"/>
          <w:sz w:val="24"/>
          <w:highlight w:val="none"/>
        </w:rPr>
        <w:t>说明：</w:t>
      </w:r>
    </w:p>
    <w:p w14:paraId="52F3D61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1.以上各项打分均由磋商小组共同认定，如磋商小组在认定上出现意见分歧，由磋商小组进行表决，以少数服从多数决定原则确定，并作记录。</w:t>
      </w:r>
    </w:p>
    <w:p w14:paraId="100DF80A">
      <w:pP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2.</w:t>
      </w:r>
      <w:r>
        <w:rPr>
          <w:rFonts w:ascii="宋体" w:hAnsi="宋体"/>
          <w:b/>
          <w:color w:val="auto"/>
          <w:sz w:val="24"/>
          <w:highlight w:val="none"/>
        </w:rPr>
        <w:t>根据财政部第87号令《政府采购货物和服务招标投标管理办法》，</w:t>
      </w:r>
      <w:r>
        <w:rPr>
          <w:rFonts w:hint="eastAsia" w:ascii="宋体" w:hAnsi="宋体"/>
          <w:b/>
          <w:color w:val="auto"/>
          <w:sz w:val="24"/>
          <w:highlight w:val="none"/>
        </w:rPr>
        <w:t>磋商小组</w:t>
      </w:r>
      <w:r>
        <w:rPr>
          <w:rFonts w:ascii="宋体" w:hAnsi="宋体"/>
          <w:b/>
          <w:color w:val="auto"/>
          <w:sz w:val="24"/>
          <w:highlight w:val="none"/>
        </w:rPr>
        <w:t>认为</w:t>
      </w:r>
      <w:r>
        <w:rPr>
          <w:rFonts w:hint="eastAsia" w:ascii="宋体" w:hAnsi="宋体"/>
          <w:b/>
          <w:color w:val="auto"/>
          <w:sz w:val="24"/>
          <w:highlight w:val="none"/>
        </w:rPr>
        <w:t>供应商的最终</w:t>
      </w:r>
      <w:r>
        <w:rPr>
          <w:rFonts w:ascii="宋体" w:hAnsi="宋体"/>
          <w:b/>
          <w:color w:val="auto"/>
          <w:sz w:val="24"/>
          <w:highlight w:val="none"/>
        </w:rPr>
        <w:t>磋商报价明显低于其他通过符合性审查</w:t>
      </w:r>
      <w:r>
        <w:rPr>
          <w:rFonts w:hint="eastAsia" w:ascii="宋体" w:hAnsi="宋体"/>
          <w:b/>
          <w:color w:val="auto"/>
          <w:sz w:val="24"/>
          <w:highlight w:val="none"/>
        </w:rPr>
        <w:t>供应商</w:t>
      </w:r>
      <w:r>
        <w:rPr>
          <w:rFonts w:ascii="宋体" w:hAnsi="宋体"/>
          <w:b/>
          <w:color w:val="auto"/>
          <w:sz w:val="24"/>
          <w:highlight w:val="none"/>
        </w:rPr>
        <w:t>的报价，有可能影响</w:t>
      </w:r>
      <w:r>
        <w:rPr>
          <w:rFonts w:hint="eastAsia" w:ascii="宋体" w:hAnsi="宋体"/>
          <w:b/>
          <w:color w:val="auto"/>
          <w:sz w:val="24"/>
          <w:highlight w:val="none"/>
        </w:rPr>
        <w:t>服务</w:t>
      </w:r>
      <w:r>
        <w:rPr>
          <w:rFonts w:ascii="宋体" w:hAnsi="宋体"/>
          <w:b/>
          <w:color w:val="auto"/>
          <w:sz w:val="24"/>
          <w:highlight w:val="none"/>
        </w:rPr>
        <w:t>质量或者不能诚信履约的，</w:t>
      </w:r>
      <w:r>
        <w:rPr>
          <w:rFonts w:hint="eastAsia" w:ascii="宋体" w:hAnsi="宋体"/>
          <w:b/>
          <w:color w:val="auto"/>
          <w:sz w:val="24"/>
          <w:highlight w:val="none"/>
        </w:rPr>
        <w:t>应当</w:t>
      </w:r>
      <w:r>
        <w:rPr>
          <w:rFonts w:ascii="宋体" w:hAnsi="宋体"/>
          <w:b/>
          <w:color w:val="auto"/>
          <w:sz w:val="24"/>
          <w:highlight w:val="none"/>
        </w:rPr>
        <w:t xml:space="preserve">要求其在评标现场合理的时间内提供书面说明，并提交相关证明材料; </w:t>
      </w:r>
      <w:r>
        <w:rPr>
          <w:rFonts w:hint="eastAsia" w:ascii="宋体" w:hAnsi="宋体"/>
          <w:b/>
          <w:color w:val="auto"/>
          <w:sz w:val="24"/>
          <w:highlight w:val="none"/>
        </w:rPr>
        <w:t>供应商</w:t>
      </w:r>
      <w:r>
        <w:rPr>
          <w:rFonts w:ascii="宋体" w:hAnsi="宋体"/>
          <w:b/>
          <w:color w:val="auto"/>
          <w:sz w:val="24"/>
          <w:highlight w:val="none"/>
        </w:rPr>
        <w:t>不能证明其报价合理性的，</w:t>
      </w:r>
      <w:r>
        <w:rPr>
          <w:rFonts w:hint="eastAsia" w:ascii="宋体" w:hAnsi="宋体"/>
          <w:b/>
          <w:color w:val="auto"/>
          <w:sz w:val="24"/>
          <w:highlight w:val="none"/>
        </w:rPr>
        <w:t>磋商小组</w:t>
      </w:r>
      <w:r>
        <w:rPr>
          <w:rFonts w:ascii="宋体" w:hAnsi="宋体"/>
          <w:b/>
          <w:color w:val="auto"/>
          <w:sz w:val="24"/>
          <w:highlight w:val="none"/>
        </w:rPr>
        <w:t>应当将其作为无效投标处理。</w:t>
      </w:r>
    </w:p>
    <w:p w14:paraId="482188E1">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 xml:space="preserve"> 3.本评标办法中要求提供证明材料等原件的均以上传的电子响应文件中的原件的扫描件并加盖单位电子签章为准。</w:t>
      </w:r>
    </w:p>
    <w:p w14:paraId="78F98230">
      <w:pPr>
        <w:pStyle w:val="52"/>
        <w:spacing w:line="360" w:lineRule="auto"/>
        <w:ind w:left="0" w:leftChars="0" w:firstLine="0" w:firstLineChars="0"/>
        <w:rPr>
          <w:rFonts w:hint="eastAsia" w:ascii="宋体" w:hAnsi="宋体"/>
          <w:b/>
          <w:bCs/>
          <w:color w:val="auto"/>
          <w:kern w:val="2"/>
          <w:sz w:val="24"/>
          <w:highlight w:val="none"/>
        </w:rPr>
      </w:pPr>
      <w:r>
        <w:rPr>
          <w:rFonts w:hint="eastAsia" w:ascii="宋体" w:hAnsi="宋体"/>
          <w:b/>
          <w:bCs/>
          <w:color w:val="auto"/>
          <w:kern w:val="2"/>
          <w:sz w:val="24"/>
          <w:highlight w:val="none"/>
        </w:rPr>
        <w:t>1.评</w:t>
      </w:r>
      <w:r>
        <w:rPr>
          <w:rFonts w:hint="eastAsia"/>
          <w:b/>
          <w:bCs/>
          <w:color w:val="auto"/>
          <w:sz w:val="24"/>
          <w:highlight w:val="none"/>
        </w:rPr>
        <w:t>标方法</w:t>
      </w:r>
    </w:p>
    <w:p w14:paraId="4B61B558">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本次评标采用综合评分法。磋商小组对满足磋商文件实质性要求的响应文件，按照本章第2.2款规定的评分标准进行打分，并按得分由高到低顺序推荐三名成交候选供应商。如出现得分并列的情况，磋商报价低的优先，如磋商报价也一致，由磋商小组根据技术部分得分确定推荐顺序。</w:t>
      </w:r>
    </w:p>
    <w:p w14:paraId="6D5C1545">
      <w:pPr>
        <w:pStyle w:val="70"/>
        <w:keepNext/>
        <w:keepLines/>
        <w:shd w:val="clear" w:color="auto" w:fill="auto"/>
        <w:tabs>
          <w:tab w:val="left" w:pos="339"/>
        </w:tabs>
        <w:spacing w:before="0" w:line="360" w:lineRule="auto"/>
        <w:rPr>
          <w:rFonts w:hint="eastAsia"/>
          <w:color w:val="auto"/>
          <w:sz w:val="24"/>
          <w:szCs w:val="24"/>
          <w:highlight w:val="none"/>
        </w:rPr>
      </w:pPr>
      <w:bookmarkStart w:id="257" w:name="bookmark58"/>
      <w:bookmarkStart w:id="258" w:name="_Toc516246219"/>
      <w:r>
        <w:rPr>
          <w:rFonts w:hint="eastAsia"/>
          <w:color w:val="auto"/>
          <w:sz w:val="24"/>
          <w:szCs w:val="24"/>
          <w:highlight w:val="none"/>
        </w:rPr>
        <w:t>2.评审标准</w:t>
      </w:r>
      <w:bookmarkEnd w:id="257"/>
      <w:bookmarkEnd w:id="258"/>
    </w:p>
    <w:p w14:paraId="11A26F32">
      <w:pPr>
        <w:pStyle w:val="70"/>
        <w:keepNext/>
        <w:keepLines/>
        <w:shd w:val="clear" w:color="auto" w:fill="auto"/>
        <w:spacing w:before="0" w:line="360" w:lineRule="auto"/>
        <w:ind w:left="520" w:hanging="220"/>
        <w:rPr>
          <w:rFonts w:hint="eastAsia"/>
          <w:color w:val="auto"/>
          <w:sz w:val="24"/>
          <w:szCs w:val="24"/>
          <w:highlight w:val="none"/>
          <w:lang w:bidi="en-US"/>
        </w:rPr>
      </w:pPr>
      <w:bookmarkStart w:id="259" w:name="bookmark60"/>
      <w:bookmarkStart w:id="260" w:name="_Toc516246220"/>
      <w:r>
        <w:rPr>
          <w:rFonts w:hint="eastAsia"/>
          <w:color w:val="auto"/>
          <w:sz w:val="24"/>
          <w:szCs w:val="24"/>
          <w:highlight w:val="none"/>
          <w:lang w:bidi="en-US"/>
        </w:rPr>
        <w:t>2.1</w:t>
      </w:r>
      <w:r>
        <w:rPr>
          <w:rFonts w:hint="eastAsia"/>
          <w:color w:val="auto"/>
          <w:sz w:val="24"/>
          <w:szCs w:val="24"/>
          <w:highlight w:val="none"/>
        </w:rPr>
        <w:t>初步评审标准</w:t>
      </w:r>
      <w:bookmarkEnd w:id="259"/>
      <w:bookmarkEnd w:id="260"/>
    </w:p>
    <w:p w14:paraId="360D9B96">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2.1.1资格审查：见评标办法前附表。</w:t>
      </w:r>
    </w:p>
    <w:p w14:paraId="4508F932">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2.1.2形式性审查：见评标办法前附表。</w:t>
      </w:r>
    </w:p>
    <w:p w14:paraId="676CDCC6">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2.1.3响应性审查：见评标办法前附表。</w:t>
      </w:r>
    </w:p>
    <w:p w14:paraId="21050C17">
      <w:pPr>
        <w:spacing w:line="360" w:lineRule="auto"/>
        <w:ind w:firstLine="241" w:firstLineChars="100"/>
        <w:rPr>
          <w:rFonts w:hint="eastAsia" w:ascii="宋体" w:hAnsi="宋体"/>
          <w:b/>
          <w:color w:val="auto"/>
          <w:sz w:val="24"/>
          <w:highlight w:val="none"/>
        </w:rPr>
      </w:pPr>
      <w:r>
        <w:rPr>
          <w:rFonts w:hint="eastAsia" w:ascii="宋体" w:hAnsi="宋体"/>
          <w:b/>
          <w:color w:val="auto"/>
          <w:sz w:val="24"/>
          <w:highlight w:val="none"/>
        </w:rPr>
        <w:t>2.2分值构成与评分标准</w:t>
      </w:r>
    </w:p>
    <w:p w14:paraId="22E2263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2.2.1分值构成：详见评分办法前附表</w:t>
      </w:r>
    </w:p>
    <w:p w14:paraId="61AE30D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2.2.2评分标准：详见评标办法前附表</w:t>
      </w:r>
    </w:p>
    <w:p w14:paraId="7EB7B358">
      <w:pPr>
        <w:pStyle w:val="70"/>
        <w:keepNext/>
        <w:keepLines/>
        <w:shd w:val="clear" w:color="auto" w:fill="auto"/>
        <w:tabs>
          <w:tab w:val="left" w:pos="339"/>
        </w:tabs>
        <w:spacing w:before="0" w:line="360" w:lineRule="auto"/>
        <w:rPr>
          <w:rFonts w:hint="eastAsia"/>
          <w:color w:val="auto"/>
          <w:sz w:val="24"/>
          <w:szCs w:val="24"/>
          <w:highlight w:val="none"/>
        </w:rPr>
      </w:pPr>
      <w:bookmarkStart w:id="261" w:name="_Toc516246221"/>
      <w:bookmarkStart w:id="262" w:name="bookmark61"/>
      <w:r>
        <w:rPr>
          <w:rFonts w:hint="eastAsia"/>
          <w:color w:val="auto"/>
          <w:sz w:val="24"/>
          <w:szCs w:val="24"/>
          <w:highlight w:val="none"/>
        </w:rPr>
        <w:t>3.评标程序</w:t>
      </w:r>
      <w:bookmarkEnd w:id="261"/>
      <w:bookmarkEnd w:id="262"/>
    </w:p>
    <w:p w14:paraId="0D7BA711">
      <w:pPr>
        <w:pStyle w:val="70"/>
        <w:keepNext/>
        <w:keepLines/>
        <w:shd w:val="clear" w:color="auto" w:fill="auto"/>
        <w:spacing w:before="0" w:line="360" w:lineRule="auto"/>
        <w:rPr>
          <w:rFonts w:hint="eastAsia"/>
          <w:color w:val="auto"/>
          <w:sz w:val="24"/>
          <w:szCs w:val="24"/>
          <w:highlight w:val="none"/>
          <w:lang w:bidi="en-US"/>
        </w:rPr>
      </w:pPr>
      <w:bookmarkStart w:id="263" w:name="bookmark63"/>
      <w:bookmarkStart w:id="264" w:name="_Toc516246222"/>
      <w:r>
        <w:rPr>
          <w:rFonts w:hint="eastAsia"/>
          <w:color w:val="auto"/>
          <w:sz w:val="24"/>
          <w:szCs w:val="24"/>
          <w:highlight w:val="none"/>
          <w:lang w:bidi="en-US"/>
        </w:rPr>
        <w:t>3.1</w:t>
      </w:r>
      <w:r>
        <w:rPr>
          <w:rFonts w:hint="eastAsia"/>
          <w:color w:val="auto"/>
          <w:sz w:val="24"/>
          <w:szCs w:val="24"/>
          <w:highlight w:val="none"/>
        </w:rPr>
        <w:t>初步审查标准</w:t>
      </w:r>
      <w:bookmarkEnd w:id="263"/>
      <w:bookmarkEnd w:id="264"/>
    </w:p>
    <w:p w14:paraId="2582CAFE">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磋商小组按照评审办法前附表中资格审查、符合性审查的标准对各响应文件进行初步评审，有一项不符合评审标准的，否决其响应文件。</w:t>
      </w:r>
    </w:p>
    <w:p w14:paraId="39E0BFF1">
      <w:pPr>
        <w:pStyle w:val="70"/>
        <w:keepNext/>
        <w:keepLines/>
        <w:shd w:val="clear" w:color="auto" w:fill="auto"/>
        <w:spacing w:before="0" w:line="360" w:lineRule="auto"/>
        <w:rPr>
          <w:rFonts w:hint="eastAsia"/>
          <w:color w:val="auto"/>
          <w:sz w:val="24"/>
          <w:szCs w:val="24"/>
          <w:highlight w:val="none"/>
          <w:lang w:bidi="en-US"/>
        </w:rPr>
      </w:pPr>
      <w:bookmarkStart w:id="265" w:name="bookmark64"/>
      <w:bookmarkStart w:id="266" w:name="_Toc516246223"/>
      <w:r>
        <w:rPr>
          <w:rFonts w:hint="eastAsia"/>
          <w:color w:val="auto"/>
          <w:sz w:val="24"/>
          <w:szCs w:val="24"/>
          <w:highlight w:val="none"/>
          <w:lang w:bidi="en-US"/>
        </w:rPr>
        <w:t>3.2</w:t>
      </w:r>
      <w:r>
        <w:rPr>
          <w:rFonts w:hint="eastAsia"/>
          <w:color w:val="auto"/>
          <w:sz w:val="24"/>
          <w:szCs w:val="24"/>
          <w:highlight w:val="none"/>
        </w:rPr>
        <w:t>详细评审</w:t>
      </w:r>
      <w:bookmarkEnd w:id="265"/>
      <w:bookmarkEnd w:id="266"/>
    </w:p>
    <w:p w14:paraId="65A5241C">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3.2.1磋商小组按本章第2.2款规定的量化因素和分值进行打分，并计算出综合评分得分。</w:t>
      </w:r>
    </w:p>
    <w:p w14:paraId="3F666CFE">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3.2.2评分分值计算保留小数点后两位，小数点后第三位“四舍五入”。</w:t>
      </w:r>
    </w:p>
    <w:p w14:paraId="2E31EC6D">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3.2.3以各磋商小组打分之和的算术平均值为各供应商最终得分。</w:t>
      </w:r>
    </w:p>
    <w:p w14:paraId="42511815">
      <w:pPr>
        <w:pStyle w:val="70"/>
        <w:keepNext/>
        <w:keepLines/>
        <w:shd w:val="clear" w:color="auto" w:fill="auto"/>
        <w:spacing w:before="0" w:line="360" w:lineRule="auto"/>
        <w:rPr>
          <w:rFonts w:hint="eastAsia"/>
          <w:color w:val="auto"/>
          <w:sz w:val="24"/>
          <w:szCs w:val="24"/>
          <w:highlight w:val="none"/>
          <w:lang w:bidi="en-US"/>
        </w:rPr>
      </w:pPr>
      <w:bookmarkStart w:id="267" w:name="bookmark65"/>
      <w:bookmarkStart w:id="268" w:name="_Toc516246224"/>
      <w:r>
        <w:rPr>
          <w:rFonts w:hint="eastAsia"/>
          <w:color w:val="auto"/>
          <w:sz w:val="24"/>
          <w:szCs w:val="24"/>
          <w:highlight w:val="none"/>
          <w:lang w:bidi="en-US"/>
        </w:rPr>
        <w:t>3.3</w:t>
      </w:r>
      <w:r>
        <w:rPr>
          <w:rFonts w:hint="eastAsia"/>
          <w:color w:val="auto"/>
          <w:sz w:val="24"/>
          <w:szCs w:val="24"/>
          <w:highlight w:val="none"/>
        </w:rPr>
        <w:t>响应文件的澄清和补正</w:t>
      </w:r>
      <w:bookmarkEnd w:id="267"/>
      <w:bookmarkEnd w:id="268"/>
    </w:p>
    <w:p w14:paraId="1A81A0DE">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3.3.1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52739D76">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磋商小组要求供应商澄清、说明或者更正响应文件应当在平顶山市公共资源交易中心系统中作出。供应商的澄清、说明或者更正应当由供应商单位及法定代表人签章。</w:t>
      </w:r>
    </w:p>
    <w:p w14:paraId="6A21BEF9">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如磋商报价表中的大写金额和小写金额不一致的，以大写金额为准，总价金额与单价金额不一致的，以单价合计金额为准，但单价金额小数点有明显错误的除外。</w:t>
      </w:r>
    </w:p>
    <w:p w14:paraId="04A8DA86">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磋商小组认为供应商的报价明显低于其他供应商的报价，有可能影响服务质量或者不能诚信履约的，应当要求其在评标现场合理的时间内提供书面说明，必要时提交相关证明材料；供应商不能证明其报价合理性的，评标委员会应当将其作为递交响应文件无效处理。</w:t>
      </w:r>
    </w:p>
    <w:p w14:paraId="2D2A1084">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3.3.2澄清、说明和补正不得改变响应文件的实质性内容（算术性错误修正的除外）。供应商的书面澄清、说明和补正属于响应文件的组成部分。</w:t>
      </w:r>
    </w:p>
    <w:p w14:paraId="09594A5A">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3.3.3磋商小组对供应商提交的澄清、说明或补正有疑问的，可以要求供应商进一步澄清、说明或补正，直至满足磋商小组的要求。</w:t>
      </w:r>
    </w:p>
    <w:p w14:paraId="50B73EBF">
      <w:pPr>
        <w:pStyle w:val="70"/>
        <w:keepNext/>
        <w:keepLines/>
        <w:shd w:val="clear" w:color="auto" w:fill="auto"/>
        <w:spacing w:before="0" w:line="360" w:lineRule="auto"/>
        <w:rPr>
          <w:rFonts w:hint="eastAsia"/>
          <w:color w:val="auto"/>
          <w:sz w:val="24"/>
          <w:szCs w:val="24"/>
          <w:highlight w:val="none"/>
          <w:lang w:bidi="en-US"/>
        </w:rPr>
      </w:pPr>
      <w:bookmarkStart w:id="269" w:name="_Toc516246225"/>
      <w:bookmarkStart w:id="270" w:name="bookmark66"/>
      <w:r>
        <w:rPr>
          <w:rFonts w:hint="eastAsia"/>
          <w:color w:val="auto"/>
          <w:sz w:val="24"/>
          <w:szCs w:val="24"/>
          <w:highlight w:val="none"/>
          <w:lang w:bidi="en-US"/>
        </w:rPr>
        <w:t>3.4</w:t>
      </w:r>
      <w:r>
        <w:rPr>
          <w:rFonts w:hint="eastAsia"/>
          <w:color w:val="auto"/>
          <w:sz w:val="24"/>
          <w:szCs w:val="24"/>
          <w:highlight w:val="none"/>
        </w:rPr>
        <w:t>细微偏差不影响响应文件的有效性</w:t>
      </w:r>
      <w:bookmarkEnd w:id="269"/>
      <w:bookmarkEnd w:id="270"/>
    </w:p>
    <w:p w14:paraId="29388C9B">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细微偏差是指响应文件在实质上响应磋商文件要求，但个别地方存在漏项或者提供了不完整的技术信息和数据等情况，并且补正这些遗漏或者不完整不会对其他供应商造成不公平的结果。</w:t>
      </w:r>
    </w:p>
    <w:p w14:paraId="1EF4E28C">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对于实质上符合磋商文件要求的响应文件，采购人将对其响应文件的细微偏差进行校核。并对有算术上和累加运算上的差错给予修正，这种修正应取得供应商的同意并确认修正后的最终结果。如果供应商拒绝确认，则其响应文件将不予评审。</w:t>
      </w:r>
    </w:p>
    <w:p w14:paraId="215229DA">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磋商小组不对无效标评审。磋商小组不接受供应商在响应文件递交截止时间之后主动进行的一切修正 或撤消其不符合要求的偏差。</w:t>
      </w:r>
    </w:p>
    <w:p w14:paraId="0BCAF7A7">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响应文件存有偏差的，视为递交响应文件无效；下列情况属于重大偏差：</w:t>
      </w:r>
    </w:p>
    <w:p w14:paraId="68A53C18">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响应文件未按磋商文件规定的格式填写，字迹模糊，难以辨认的；</w:t>
      </w:r>
    </w:p>
    <w:p w14:paraId="2CEB3736">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不符合磋商文件中规定的其他实质性要求的；</w:t>
      </w:r>
    </w:p>
    <w:p w14:paraId="30073518">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(3)供应商以他人的名义投标、串通投标、以行贿手段谋取中标或者以其他弄虚作假方式投标的。</w:t>
      </w:r>
    </w:p>
    <w:p w14:paraId="42C7A0B4">
      <w:pPr>
        <w:pStyle w:val="70"/>
        <w:keepNext/>
        <w:keepLines/>
        <w:shd w:val="clear" w:color="auto" w:fill="auto"/>
        <w:spacing w:before="0" w:line="360" w:lineRule="auto"/>
        <w:rPr>
          <w:rFonts w:hint="eastAsia"/>
          <w:color w:val="auto"/>
          <w:sz w:val="24"/>
          <w:szCs w:val="24"/>
          <w:highlight w:val="none"/>
          <w:lang w:bidi="en-US"/>
        </w:rPr>
      </w:pPr>
      <w:bookmarkStart w:id="271" w:name="_Toc516246226"/>
      <w:bookmarkStart w:id="272" w:name="bookmark67"/>
      <w:r>
        <w:rPr>
          <w:rFonts w:hint="eastAsia"/>
          <w:color w:val="auto"/>
          <w:sz w:val="24"/>
          <w:szCs w:val="24"/>
          <w:highlight w:val="none"/>
          <w:lang w:bidi="en-US"/>
        </w:rPr>
        <w:t>3.6</w:t>
      </w:r>
      <w:r>
        <w:rPr>
          <w:rFonts w:hint="eastAsia"/>
          <w:color w:val="auto"/>
          <w:sz w:val="24"/>
          <w:szCs w:val="24"/>
          <w:highlight w:val="none"/>
        </w:rPr>
        <w:t>评标保密</w:t>
      </w:r>
      <w:bookmarkEnd w:id="271"/>
      <w:bookmarkEnd w:id="272"/>
    </w:p>
    <w:p w14:paraId="05E3198E">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3.6.1开标后，直至授予成交供应商合同为止，凡属于对响应文件的审查、澄清、评价和比较的有关资料以及入围单位的推荐情况，与评标有关的其他任何情况均严格保密。</w:t>
      </w:r>
    </w:p>
    <w:p w14:paraId="0855A653">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3.6.2在响应文件的评审和比较、中标候选人推荐以及授予合同的过程中，供应商向采购人和磋商小组施加影响的任何行为，都将会导致其响应文件被拒绝。</w:t>
      </w:r>
    </w:p>
    <w:p w14:paraId="43124368">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3.6.3成交供应商确定后，采购人不对未成交供应商就评标过程以及未能中标原因作出任何解释。未成交供应商不得向磋商小组组成人员或其他有关人员索问评标过程的情况和材料。</w:t>
      </w:r>
    </w:p>
    <w:p w14:paraId="023E4EDF">
      <w:pPr>
        <w:pStyle w:val="67"/>
        <w:shd w:val="clear" w:color="auto" w:fill="auto"/>
        <w:spacing w:before="0" w:line="360" w:lineRule="auto"/>
        <w:ind w:right="340" w:firstLine="520"/>
        <w:jc w:val="both"/>
        <w:rPr>
          <w:rFonts w:hint="eastAsia"/>
          <w:color w:val="auto"/>
          <w:sz w:val="24"/>
          <w:szCs w:val="24"/>
          <w:highlight w:val="none"/>
        </w:rPr>
      </w:pPr>
      <w:r>
        <w:rPr>
          <w:rFonts w:hint="eastAsia"/>
          <w:color w:val="auto"/>
          <w:sz w:val="24"/>
          <w:szCs w:val="24"/>
          <w:highlight w:val="none"/>
        </w:rPr>
        <w:t>3.6.4凡参加评标的所有人员都不得向供应商或与该过程无公务关系的其他人泄露。</w:t>
      </w:r>
    </w:p>
    <w:p w14:paraId="0C860D77">
      <w:pPr>
        <w:pStyle w:val="70"/>
        <w:keepNext/>
        <w:keepLines/>
        <w:shd w:val="clear" w:color="auto" w:fill="auto"/>
        <w:spacing w:before="0" w:line="360" w:lineRule="auto"/>
        <w:rPr>
          <w:rFonts w:hint="eastAsia"/>
          <w:color w:val="auto"/>
          <w:sz w:val="24"/>
          <w:szCs w:val="24"/>
          <w:highlight w:val="none"/>
          <w:lang w:bidi="en-US"/>
        </w:rPr>
      </w:pPr>
      <w:bookmarkStart w:id="273" w:name="_Toc516246227"/>
      <w:bookmarkStart w:id="274" w:name="bookmark68"/>
      <w:r>
        <w:rPr>
          <w:rFonts w:hint="eastAsia"/>
          <w:color w:val="auto"/>
          <w:sz w:val="24"/>
          <w:szCs w:val="24"/>
          <w:highlight w:val="none"/>
          <w:lang w:bidi="en-US"/>
        </w:rPr>
        <w:t>3.7</w:t>
      </w:r>
      <w:r>
        <w:rPr>
          <w:rFonts w:hint="eastAsia"/>
          <w:color w:val="auto"/>
          <w:sz w:val="24"/>
          <w:szCs w:val="24"/>
          <w:highlight w:val="none"/>
        </w:rPr>
        <w:t>评标结果</w:t>
      </w:r>
      <w:bookmarkEnd w:id="273"/>
      <w:bookmarkEnd w:id="274"/>
    </w:p>
    <w:p w14:paraId="2CDBB60C">
      <w:pPr>
        <w:spacing w:line="360" w:lineRule="auto"/>
        <w:ind w:firstLine="600" w:firstLineChars="250"/>
        <w:rPr>
          <w:rFonts w:hint="eastAsia" w:ascii="宋体" w:hAnsi="宋体"/>
          <w:color w:val="auto"/>
          <w:sz w:val="24"/>
          <w:highlight w:val="none"/>
          <w:lang w:bidi="en-US"/>
        </w:rPr>
      </w:pPr>
      <w:r>
        <w:rPr>
          <w:rFonts w:hint="eastAsia" w:ascii="宋体" w:hAnsi="宋体"/>
          <w:color w:val="auto"/>
          <w:sz w:val="24"/>
          <w:highlight w:val="none"/>
          <w:lang w:bidi="en-US"/>
        </w:rPr>
        <w:t>3.7.1磋商小组按照得分由高到低的顺序推荐前3名为成交候选人。</w:t>
      </w:r>
    </w:p>
    <w:p w14:paraId="19DB8E5A">
      <w:pPr>
        <w:spacing w:line="360" w:lineRule="auto"/>
        <w:ind w:firstLine="600" w:firstLineChars="250"/>
        <w:rPr>
          <w:rFonts w:hint="eastAsia" w:ascii="宋体" w:hAnsi="宋体"/>
          <w:color w:val="auto"/>
          <w:sz w:val="24"/>
          <w:highlight w:val="none"/>
          <w:lang w:bidi="en-US"/>
        </w:rPr>
      </w:pPr>
      <w:r>
        <w:rPr>
          <w:rFonts w:hint="eastAsia" w:ascii="宋体" w:hAnsi="宋体"/>
          <w:color w:val="auto"/>
          <w:sz w:val="24"/>
          <w:highlight w:val="none"/>
          <w:lang w:bidi="en-US"/>
        </w:rPr>
        <w:t>3.7.2磋商小组完成评标工作后向采购人提交评标报告。</w:t>
      </w:r>
    </w:p>
    <w:p w14:paraId="7721A29C">
      <w:pPr>
        <w:pStyle w:val="21"/>
        <w:spacing w:before="20" w:after="20" w:line="288" w:lineRule="auto"/>
        <w:rPr>
          <w:rFonts w:hint="eastAsia" w:ascii="宋体" w:hAnsi="宋体" w:eastAsia="宋体"/>
          <w:bCs w:val="0"/>
          <w:color w:val="auto"/>
          <w:kern w:val="0"/>
          <w:sz w:val="24"/>
          <w:szCs w:val="24"/>
          <w:highlight w:val="none"/>
        </w:rPr>
      </w:pPr>
      <w:bookmarkStart w:id="275" w:name="_Toc463011286"/>
      <w:bookmarkStart w:id="276" w:name="_Toc7308"/>
      <w:bookmarkStart w:id="277" w:name="_Toc12985"/>
      <w:bookmarkStart w:id="278" w:name="_Toc428351660"/>
      <w:bookmarkStart w:id="279" w:name="_Toc462934307"/>
      <w:bookmarkStart w:id="280" w:name="_Toc428276600"/>
      <w:bookmarkStart w:id="281" w:name="_Toc454788040"/>
      <w:bookmarkStart w:id="282" w:name="_Toc455678133"/>
      <w:r>
        <w:rPr>
          <w:rFonts w:hint="eastAsia" w:ascii="宋体" w:hAnsi="宋体" w:eastAsia="宋体"/>
          <w:bCs w:val="0"/>
          <w:color w:val="auto"/>
          <w:kern w:val="0"/>
          <w:sz w:val="24"/>
          <w:szCs w:val="24"/>
          <w:highlight w:val="none"/>
        </w:rPr>
        <w:t>3.8确定成交人</w:t>
      </w:r>
      <w:bookmarkEnd w:id="275"/>
      <w:bookmarkEnd w:id="276"/>
      <w:bookmarkEnd w:id="277"/>
      <w:bookmarkEnd w:id="278"/>
      <w:bookmarkEnd w:id="279"/>
      <w:bookmarkEnd w:id="280"/>
      <w:bookmarkEnd w:id="281"/>
      <w:bookmarkEnd w:id="282"/>
    </w:p>
    <w:p w14:paraId="50A24C86">
      <w:pPr>
        <w:spacing w:line="360" w:lineRule="auto"/>
        <w:ind w:firstLine="600" w:firstLineChars="250"/>
        <w:rPr>
          <w:rFonts w:hint="eastAsia" w:ascii="宋体" w:hAnsi="宋体"/>
          <w:color w:val="auto"/>
          <w:sz w:val="24"/>
          <w:highlight w:val="none"/>
          <w:lang w:bidi="en-US"/>
        </w:rPr>
      </w:pPr>
      <w:r>
        <w:rPr>
          <w:rFonts w:hint="eastAsia" w:ascii="宋体" w:hAnsi="宋体"/>
          <w:color w:val="auto"/>
          <w:sz w:val="24"/>
          <w:highlight w:val="none"/>
          <w:lang w:bidi="en-US"/>
        </w:rPr>
        <w:t>（1）采购代理机构应当在磋商结束后2个工作日内将评审报告送采购人。采购人应当在收到评审报告后5个工作日内，按照磋商评审报告中推荐的成交候选人顺序确定成交人，并将结果通知未成交供应商。</w:t>
      </w:r>
    </w:p>
    <w:p w14:paraId="6A3D4287">
      <w:pPr>
        <w:spacing w:line="360" w:lineRule="auto"/>
        <w:ind w:firstLine="600" w:firstLineChars="250"/>
        <w:rPr>
          <w:rFonts w:hint="eastAsia" w:ascii="宋体" w:hAnsi="宋体"/>
          <w:color w:val="auto"/>
          <w:sz w:val="24"/>
          <w:highlight w:val="none"/>
          <w:lang w:bidi="en-US"/>
        </w:rPr>
      </w:pPr>
      <w:r>
        <w:rPr>
          <w:rFonts w:hint="eastAsia" w:ascii="宋体" w:hAnsi="宋体"/>
          <w:color w:val="auto"/>
          <w:sz w:val="24"/>
          <w:highlight w:val="none"/>
          <w:lang w:bidi="en-US"/>
        </w:rPr>
        <w:t>（2）采购人也可以书面授权磋商小组直接确定成交供应商。磋商小组直接确定成交供应商的应在磋商文件中写明。</w:t>
      </w:r>
    </w:p>
    <w:p w14:paraId="64C42AC5">
      <w:pPr>
        <w:pStyle w:val="21"/>
        <w:spacing w:before="20" w:after="20" w:line="288" w:lineRule="auto"/>
        <w:rPr>
          <w:rFonts w:hint="eastAsia" w:ascii="宋体" w:hAnsi="宋体" w:eastAsia="宋体"/>
          <w:bCs w:val="0"/>
          <w:color w:val="auto"/>
          <w:kern w:val="0"/>
          <w:sz w:val="24"/>
          <w:szCs w:val="24"/>
          <w:highlight w:val="none"/>
        </w:rPr>
      </w:pPr>
      <w:bookmarkStart w:id="283" w:name="_Toc422126474"/>
      <w:bookmarkStart w:id="284" w:name="_Toc428351661"/>
      <w:bookmarkStart w:id="285" w:name="_Toc428276601"/>
      <w:bookmarkStart w:id="286" w:name="_Toc455678134"/>
      <w:bookmarkStart w:id="287" w:name="_Toc454788041"/>
      <w:bookmarkStart w:id="288" w:name="_Toc463011287"/>
      <w:bookmarkStart w:id="289" w:name="_Toc2677"/>
      <w:bookmarkStart w:id="290" w:name="_Toc462934308"/>
      <w:bookmarkStart w:id="291" w:name="_Toc15190"/>
      <w:r>
        <w:rPr>
          <w:rFonts w:hint="eastAsia" w:ascii="宋体" w:hAnsi="宋体" w:eastAsia="宋体"/>
          <w:bCs w:val="0"/>
          <w:color w:val="auto"/>
          <w:kern w:val="0"/>
          <w:sz w:val="24"/>
          <w:szCs w:val="24"/>
          <w:highlight w:val="none"/>
        </w:rPr>
        <w:t>3.9成交结果</w:t>
      </w:r>
      <w:bookmarkEnd w:id="283"/>
      <w:bookmarkEnd w:id="284"/>
      <w:bookmarkEnd w:id="285"/>
      <w:bookmarkEnd w:id="286"/>
      <w:bookmarkEnd w:id="287"/>
      <w:r>
        <w:rPr>
          <w:rFonts w:hint="eastAsia" w:ascii="宋体" w:hAnsi="宋体" w:eastAsia="宋体"/>
          <w:bCs w:val="0"/>
          <w:color w:val="auto"/>
          <w:kern w:val="0"/>
          <w:sz w:val="24"/>
          <w:szCs w:val="24"/>
          <w:highlight w:val="none"/>
        </w:rPr>
        <w:t>公告</w:t>
      </w:r>
      <w:bookmarkEnd w:id="288"/>
      <w:bookmarkEnd w:id="289"/>
      <w:bookmarkEnd w:id="290"/>
      <w:bookmarkEnd w:id="291"/>
    </w:p>
    <w:p w14:paraId="3704B213">
      <w:pPr>
        <w:spacing w:line="360" w:lineRule="auto"/>
        <w:ind w:firstLine="600" w:firstLineChars="250"/>
        <w:rPr>
          <w:rFonts w:hint="eastAsia" w:ascii="宋体" w:hAnsi="宋体"/>
          <w:color w:val="auto"/>
          <w:sz w:val="24"/>
          <w:highlight w:val="none"/>
          <w:lang w:bidi="en-US"/>
        </w:rPr>
      </w:pPr>
      <w:r>
        <w:rPr>
          <w:rFonts w:hint="eastAsia" w:ascii="宋体" w:hAnsi="宋体"/>
          <w:color w:val="auto"/>
          <w:sz w:val="24"/>
          <w:highlight w:val="none"/>
          <w:lang w:bidi="en-US"/>
        </w:rPr>
        <w:t>（1）采购人应当在成交人确定后2个工作日内，在公告发布的同一媒介上公告成交结果，同时向成交供应商发出成交通知书，并将磋商文件随成交结果同时公告，公告期限1个工作日。</w:t>
      </w:r>
    </w:p>
    <w:p w14:paraId="4216E7C3">
      <w:pPr>
        <w:spacing w:line="360" w:lineRule="auto"/>
        <w:ind w:firstLine="600" w:firstLineChars="250"/>
        <w:rPr>
          <w:rFonts w:hint="eastAsia" w:ascii="宋体" w:hAnsi="宋体"/>
          <w:color w:val="auto"/>
          <w:sz w:val="24"/>
          <w:highlight w:val="none"/>
          <w:lang w:bidi="en-US"/>
        </w:rPr>
      </w:pPr>
      <w:bookmarkStart w:id="292" w:name="_Toc270604607"/>
      <w:r>
        <w:rPr>
          <w:rFonts w:hint="eastAsia" w:ascii="宋体" w:hAnsi="宋体"/>
          <w:color w:val="auto"/>
          <w:sz w:val="24"/>
          <w:highlight w:val="none"/>
          <w:lang w:bidi="en-US"/>
        </w:rPr>
        <w:t>（2）成交结果公告内容应当包括采购人和采购代理机构的名称、地址、联系方式，项目名称和项目编号，成交供应商名称、地址，主要成交标的的名称、规格型号、数量、单价、服务要求或标的的基本概况以及磋商小组名单</w:t>
      </w:r>
      <w:bookmarkEnd w:id="292"/>
      <w:r>
        <w:rPr>
          <w:rFonts w:hint="eastAsia" w:ascii="宋体" w:hAnsi="宋体"/>
          <w:color w:val="auto"/>
          <w:sz w:val="24"/>
          <w:highlight w:val="none"/>
          <w:lang w:bidi="en-US"/>
        </w:rPr>
        <w:t>。</w:t>
      </w:r>
    </w:p>
    <w:p w14:paraId="63D2FA07">
      <w:pPr>
        <w:snapToGrid w:val="0"/>
        <w:spacing w:line="288" w:lineRule="auto"/>
        <w:ind w:firstLine="480" w:firstLineChars="200"/>
        <w:contextualSpacing/>
        <w:rPr>
          <w:rFonts w:hint="eastAsia" w:ascii="宋体" w:hAnsi="宋体"/>
          <w:color w:val="auto"/>
          <w:sz w:val="24"/>
          <w:highlight w:val="none"/>
        </w:rPr>
      </w:pPr>
    </w:p>
    <w:p w14:paraId="0B989C99">
      <w:pPr>
        <w:snapToGrid w:val="0"/>
        <w:spacing w:line="288" w:lineRule="auto"/>
        <w:ind w:firstLine="482" w:firstLineChars="200"/>
        <w:contextualSpacing/>
        <w:rPr>
          <w:rFonts w:hint="eastAsia" w:ascii="宋体" w:hAnsi="宋体"/>
          <w:b/>
          <w:bCs/>
          <w:color w:val="auto"/>
          <w:sz w:val="24"/>
          <w:highlight w:val="none"/>
        </w:rPr>
      </w:pPr>
      <w:r>
        <w:rPr>
          <w:rFonts w:hint="eastAsia" w:ascii="宋体" w:hAnsi="宋体"/>
          <w:b/>
          <w:bCs/>
          <w:color w:val="auto"/>
          <w:sz w:val="24"/>
          <w:highlight w:val="none"/>
        </w:rPr>
        <w:t>注：以上有关时效部分，落实四个“一日办”精神。</w:t>
      </w:r>
    </w:p>
    <w:p w14:paraId="4EDF3D0B">
      <w:pPr>
        <w:pStyle w:val="51"/>
        <w:spacing w:line="360" w:lineRule="auto"/>
        <w:ind w:firstLine="240"/>
        <w:rPr>
          <w:rFonts w:ascii="仿宋" w:hAnsi="仿宋" w:eastAsia="仿宋"/>
          <w:color w:val="auto"/>
          <w:sz w:val="24"/>
          <w:highlight w:val="none"/>
        </w:rPr>
      </w:pPr>
      <w:r>
        <w:rPr>
          <w:rFonts w:ascii="仿宋" w:hAnsi="仿宋" w:eastAsia="仿宋"/>
          <w:color w:val="auto"/>
          <w:sz w:val="24"/>
          <w:highlight w:val="none"/>
        </w:rPr>
        <w:br w:type="page"/>
      </w:r>
      <w:bookmarkStart w:id="293" w:name="_Toc20847"/>
      <w:bookmarkStart w:id="294" w:name="_Toc2898"/>
      <w:bookmarkStart w:id="295" w:name="_Toc482954634"/>
      <w:r>
        <w:rPr>
          <w:rFonts w:hint="eastAsia" w:ascii="仿宋" w:hAnsi="仿宋" w:eastAsia="仿宋"/>
          <w:color w:val="auto"/>
          <w:sz w:val="24"/>
          <w:highlight w:val="none"/>
        </w:rPr>
        <w:t xml:space="preserve">                      </w:t>
      </w:r>
      <w:r>
        <w:rPr>
          <w:rFonts w:hint="eastAsia" w:ascii="仿宋" w:hAnsi="仿宋" w:eastAsia="仿宋"/>
          <w:color w:val="auto"/>
          <w:sz w:val="30"/>
          <w:szCs w:val="30"/>
          <w:highlight w:val="none"/>
        </w:rPr>
        <w:t xml:space="preserve"> </w:t>
      </w:r>
      <w:r>
        <w:rPr>
          <w:rFonts w:hint="eastAsia" w:ascii="仿宋" w:hAnsi="仿宋" w:eastAsia="仿宋"/>
          <w:b/>
          <w:bCs/>
          <w:color w:val="auto"/>
          <w:sz w:val="30"/>
          <w:szCs w:val="30"/>
          <w:highlight w:val="none"/>
        </w:rPr>
        <w:t xml:space="preserve">  </w:t>
      </w:r>
      <w:r>
        <w:rPr>
          <w:rFonts w:hint="eastAsia" w:ascii="宋体" w:hAnsi="宋体"/>
          <w:b/>
          <w:bCs/>
          <w:color w:val="auto"/>
          <w:sz w:val="30"/>
          <w:szCs w:val="30"/>
          <w:highlight w:val="none"/>
        </w:rPr>
        <w:t>第四章  合同条款及格式</w:t>
      </w:r>
      <w:bookmarkEnd w:id="293"/>
      <w:bookmarkEnd w:id="294"/>
      <w:bookmarkEnd w:id="295"/>
    </w:p>
    <w:p w14:paraId="6CAB51B7">
      <w:pPr>
        <w:pStyle w:val="51"/>
        <w:spacing w:line="360" w:lineRule="auto"/>
        <w:ind w:firstLine="240"/>
        <w:rPr>
          <w:rFonts w:ascii="仿宋" w:hAnsi="仿宋" w:eastAsia="仿宋"/>
          <w:color w:val="auto"/>
          <w:sz w:val="24"/>
          <w:highlight w:val="none"/>
        </w:rPr>
      </w:pPr>
      <w:r>
        <w:rPr>
          <w:rFonts w:hint="eastAsia" w:ascii="仿宋" w:hAnsi="仿宋" w:eastAsia="仿宋"/>
          <w:color w:val="auto"/>
          <w:sz w:val="24"/>
          <w:highlight w:val="none"/>
        </w:rPr>
        <w:t xml:space="preserve">   </w:t>
      </w:r>
    </w:p>
    <w:p w14:paraId="1E414CC5">
      <w:pPr>
        <w:jc w:val="center"/>
        <w:rPr>
          <w:b/>
          <w:bCs/>
          <w:color w:val="auto"/>
          <w:sz w:val="48"/>
          <w:szCs w:val="48"/>
          <w:highlight w:val="none"/>
        </w:rPr>
      </w:pPr>
      <w:r>
        <w:rPr>
          <w:rFonts w:hint="eastAsia"/>
          <w:b/>
          <w:bCs/>
          <w:color w:val="auto"/>
          <w:sz w:val="36"/>
          <w:szCs w:val="36"/>
          <w:highlight w:val="none"/>
        </w:rPr>
        <w:t>（项目名称）</w:t>
      </w:r>
    </w:p>
    <w:p w14:paraId="262E3833">
      <w:pPr>
        <w:jc w:val="center"/>
        <w:rPr>
          <w:rFonts w:hint="eastAsia"/>
          <w:b/>
          <w:bCs/>
          <w:color w:val="auto"/>
          <w:sz w:val="48"/>
          <w:szCs w:val="48"/>
          <w:highlight w:val="none"/>
        </w:rPr>
      </w:pPr>
    </w:p>
    <w:p w14:paraId="62C461D2">
      <w:pPr>
        <w:jc w:val="center"/>
        <w:rPr>
          <w:rFonts w:hint="eastAsia"/>
          <w:b/>
          <w:bCs/>
          <w:color w:val="auto"/>
          <w:sz w:val="48"/>
          <w:szCs w:val="48"/>
          <w:highlight w:val="none"/>
        </w:rPr>
      </w:pPr>
    </w:p>
    <w:p w14:paraId="4EBC52BF">
      <w:pPr>
        <w:jc w:val="center"/>
        <w:rPr>
          <w:rFonts w:hint="eastAsia"/>
          <w:b/>
          <w:bCs/>
          <w:color w:val="auto"/>
          <w:sz w:val="48"/>
          <w:szCs w:val="48"/>
          <w:highlight w:val="none"/>
        </w:rPr>
      </w:pPr>
      <w:r>
        <w:rPr>
          <w:rFonts w:hint="eastAsia"/>
          <w:b/>
          <w:bCs/>
          <w:color w:val="auto"/>
          <w:sz w:val="48"/>
          <w:szCs w:val="48"/>
          <w:highlight w:val="none"/>
        </w:rPr>
        <w:t>合</w:t>
      </w:r>
    </w:p>
    <w:p w14:paraId="463EBAB5">
      <w:pPr>
        <w:rPr>
          <w:rFonts w:hint="eastAsia"/>
          <w:b/>
          <w:bCs/>
          <w:color w:val="auto"/>
          <w:sz w:val="48"/>
          <w:szCs w:val="48"/>
          <w:highlight w:val="none"/>
        </w:rPr>
      </w:pPr>
    </w:p>
    <w:p w14:paraId="7B26486B">
      <w:pPr>
        <w:jc w:val="center"/>
        <w:rPr>
          <w:rFonts w:hint="eastAsia"/>
          <w:b/>
          <w:bCs/>
          <w:color w:val="auto"/>
          <w:sz w:val="48"/>
          <w:szCs w:val="48"/>
          <w:highlight w:val="none"/>
        </w:rPr>
      </w:pPr>
    </w:p>
    <w:p w14:paraId="26E19C2F">
      <w:pPr>
        <w:jc w:val="center"/>
        <w:rPr>
          <w:rFonts w:hint="eastAsia"/>
          <w:b/>
          <w:bCs/>
          <w:color w:val="auto"/>
          <w:sz w:val="48"/>
          <w:szCs w:val="48"/>
          <w:highlight w:val="none"/>
        </w:rPr>
      </w:pPr>
      <w:r>
        <w:rPr>
          <w:rFonts w:hint="eastAsia"/>
          <w:b/>
          <w:bCs/>
          <w:color w:val="auto"/>
          <w:sz w:val="48"/>
          <w:szCs w:val="48"/>
          <w:highlight w:val="none"/>
        </w:rPr>
        <w:t>同</w:t>
      </w:r>
    </w:p>
    <w:p w14:paraId="1BB9E7B1">
      <w:pPr>
        <w:rPr>
          <w:rFonts w:hint="eastAsia"/>
          <w:b/>
          <w:bCs/>
          <w:color w:val="auto"/>
          <w:sz w:val="48"/>
          <w:szCs w:val="48"/>
          <w:highlight w:val="none"/>
        </w:rPr>
      </w:pPr>
    </w:p>
    <w:p w14:paraId="1E793EA3">
      <w:pPr>
        <w:jc w:val="center"/>
        <w:rPr>
          <w:rFonts w:hint="eastAsia"/>
          <w:b/>
          <w:bCs/>
          <w:color w:val="auto"/>
          <w:sz w:val="48"/>
          <w:szCs w:val="48"/>
          <w:highlight w:val="none"/>
        </w:rPr>
      </w:pPr>
    </w:p>
    <w:p w14:paraId="7CEDB4E7">
      <w:pPr>
        <w:jc w:val="center"/>
        <w:rPr>
          <w:rFonts w:hint="eastAsia"/>
          <w:b/>
          <w:bCs/>
          <w:color w:val="auto"/>
          <w:sz w:val="48"/>
          <w:szCs w:val="48"/>
          <w:highlight w:val="none"/>
        </w:rPr>
      </w:pPr>
      <w:r>
        <w:rPr>
          <w:rFonts w:hint="eastAsia"/>
          <w:b/>
          <w:bCs/>
          <w:color w:val="auto"/>
          <w:sz w:val="48"/>
          <w:szCs w:val="48"/>
          <w:highlight w:val="none"/>
        </w:rPr>
        <w:t>书</w:t>
      </w:r>
    </w:p>
    <w:p w14:paraId="5F3A28E0">
      <w:pPr>
        <w:rPr>
          <w:rFonts w:hint="eastAsia"/>
          <w:color w:val="auto"/>
          <w:highlight w:val="none"/>
        </w:rPr>
      </w:pPr>
    </w:p>
    <w:p w14:paraId="6DA3F913">
      <w:pPr>
        <w:rPr>
          <w:rFonts w:hint="eastAsia"/>
          <w:color w:val="auto"/>
          <w:highlight w:val="none"/>
        </w:rPr>
      </w:pPr>
    </w:p>
    <w:p w14:paraId="0BF378F1">
      <w:pPr>
        <w:rPr>
          <w:rFonts w:hint="eastAsia"/>
          <w:color w:val="auto"/>
          <w:highlight w:val="none"/>
        </w:rPr>
      </w:pPr>
    </w:p>
    <w:p w14:paraId="279EC8FC">
      <w:pPr>
        <w:rPr>
          <w:rFonts w:hint="eastAsia"/>
          <w:color w:val="auto"/>
          <w:highlight w:val="none"/>
        </w:rPr>
      </w:pPr>
    </w:p>
    <w:p w14:paraId="6F6F31D8">
      <w:pPr>
        <w:rPr>
          <w:rFonts w:hint="eastAsia"/>
          <w:color w:val="auto"/>
          <w:highlight w:val="none"/>
        </w:rPr>
      </w:pPr>
    </w:p>
    <w:p w14:paraId="5ED2F97B">
      <w:pPr>
        <w:rPr>
          <w:rFonts w:hint="eastAsia"/>
          <w:color w:val="auto"/>
          <w:highlight w:val="none"/>
        </w:rPr>
      </w:pPr>
    </w:p>
    <w:p w14:paraId="5D673CD8">
      <w:pPr>
        <w:rPr>
          <w:rFonts w:hint="eastAsia"/>
          <w:color w:val="auto"/>
          <w:highlight w:val="none"/>
        </w:rPr>
      </w:pPr>
    </w:p>
    <w:p w14:paraId="74012DE9">
      <w:pPr>
        <w:rPr>
          <w:rFonts w:hint="eastAsia"/>
          <w:color w:val="auto"/>
          <w:highlight w:val="none"/>
        </w:rPr>
      </w:pPr>
    </w:p>
    <w:p w14:paraId="44FA8E73">
      <w:pPr>
        <w:ind w:firstLine="1200" w:firstLineChars="400"/>
        <w:rPr>
          <w:color w:val="auto"/>
          <w:sz w:val="30"/>
          <w:szCs w:val="30"/>
          <w:highlight w:val="none"/>
        </w:rPr>
      </w:pPr>
      <w:r>
        <w:rPr>
          <w:rFonts w:hint="eastAsia"/>
          <w:color w:val="auto"/>
          <w:sz w:val="30"/>
          <w:szCs w:val="30"/>
          <w:highlight w:val="none"/>
        </w:rPr>
        <w:t>委托方(甲方):</w:t>
      </w:r>
    </w:p>
    <w:p w14:paraId="5C903918">
      <w:pPr>
        <w:ind w:firstLine="1200" w:firstLineChars="400"/>
        <w:rPr>
          <w:rFonts w:hint="eastAsia"/>
          <w:color w:val="auto"/>
          <w:sz w:val="30"/>
          <w:szCs w:val="30"/>
          <w:highlight w:val="none"/>
        </w:rPr>
      </w:pPr>
      <w:r>
        <w:rPr>
          <w:rFonts w:hint="eastAsia"/>
          <w:color w:val="auto"/>
          <w:sz w:val="30"/>
          <w:szCs w:val="30"/>
          <w:highlight w:val="none"/>
        </w:rPr>
        <w:t>受托方(乙方):</w:t>
      </w:r>
    </w:p>
    <w:p w14:paraId="32E59EB9">
      <w:pPr>
        <w:jc w:val="center"/>
        <w:rPr>
          <w:rFonts w:hint="eastAsia"/>
          <w:color w:val="auto"/>
          <w:sz w:val="30"/>
          <w:szCs w:val="30"/>
          <w:highlight w:val="none"/>
        </w:rPr>
      </w:pPr>
    </w:p>
    <w:p w14:paraId="258E32F2">
      <w:pPr>
        <w:ind w:firstLine="560" w:firstLineChars="200"/>
        <w:jc w:val="left"/>
        <w:rPr>
          <w:rFonts w:hint="eastAsia"/>
          <w:color w:val="auto"/>
          <w:sz w:val="28"/>
          <w:szCs w:val="28"/>
          <w:highlight w:val="none"/>
        </w:rPr>
        <w:sectPr>
          <w:pgSz w:w="11906" w:h="16838"/>
          <w:pgMar w:top="1304" w:right="1417" w:bottom="1304" w:left="1417" w:header="851" w:footer="992" w:gutter="0"/>
          <w:cols w:space="720" w:num="1"/>
          <w:docGrid w:type="lines" w:linePitch="312" w:charSpace="0"/>
        </w:sectPr>
      </w:pPr>
    </w:p>
    <w:p w14:paraId="0D37A2A2">
      <w:pPr>
        <w:spacing w:line="336" w:lineRule="auto"/>
        <w:ind w:firstLine="420" w:firstLineChars="200"/>
        <w:jc w:val="left"/>
        <w:rPr>
          <w:rFonts w:hint="eastAsia"/>
          <w:color w:val="auto"/>
          <w:szCs w:val="21"/>
          <w:highlight w:val="none"/>
        </w:rPr>
      </w:pPr>
      <w:r>
        <w:rPr>
          <w:rFonts w:hint="eastAsia"/>
          <w:color w:val="auto"/>
          <w:szCs w:val="21"/>
          <w:highlight w:val="none"/>
        </w:rPr>
        <w:t>根据《中华人民共和国民法典》和其他有关法律、行政法规以及行业收费的有关规定，双方本着平等自愿、有偿、诚实守信的原则，达成如下委托协议:</w:t>
      </w:r>
    </w:p>
    <w:p w14:paraId="29BBEC79">
      <w:pPr>
        <w:numPr>
          <w:ilvl w:val="0"/>
          <w:numId w:val="6"/>
        </w:numPr>
        <w:spacing w:line="336" w:lineRule="auto"/>
        <w:ind w:firstLine="422" w:firstLineChars="200"/>
        <w:jc w:val="left"/>
        <w:rPr>
          <w:rFonts w:hint="eastAsia"/>
          <w:b/>
          <w:bCs/>
          <w:color w:val="auto"/>
          <w:szCs w:val="21"/>
          <w:highlight w:val="none"/>
        </w:rPr>
      </w:pPr>
      <w:r>
        <w:rPr>
          <w:rFonts w:hint="eastAsia"/>
          <w:b/>
          <w:bCs/>
          <w:color w:val="auto"/>
          <w:szCs w:val="21"/>
          <w:highlight w:val="none"/>
        </w:rPr>
        <w:t>委托的业务内容和要求</w:t>
      </w:r>
    </w:p>
    <w:p w14:paraId="335DB2AA">
      <w:pPr>
        <w:spacing w:line="336" w:lineRule="auto"/>
        <w:ind w:firstLine="420" w:firstLineChars="200"/>
        <w:jc w:val="left"/>
        <w:rPr>
          <w:rFonts w:hint="eastAsia" w:eastAsia="宋体"/>
          <w:color w:val="auto"/>
          <w:szCs w:val="21"/>
          <w:highlight w:val="none"/>
          <w:u w:val="single"/>
          <w:lang w:eastAsia="zh-CN"/>
        </w:rPr>
      </w:pPr>
      <w:r>
        <w:rPr>
          <w:rFonts w:hint="eastAsia"/>
          <w:color w:val="auto"/>
          <w:szCs w:val="21"/>
          <w:highlight w:val="none"/>
        </w:rPr>
        <w:t>1、项目名称：</w:t>
      </w:r>
      <w:r>
        <w:rPr>
          <w:rFonts w:hint="eastAsia"/>
          <w:color w:val="auto"/>
          <w:szCs w:val="21"/>
          <w:highlight w:val="none"/>
          <w:u w:val="single"/>
          <w:lang w:eastAsia="zh-CN"/>
        </w:rPr>
        <w:t>鲁山县地质灾害防治“十五五”规划项目</w:t>
      </w:r>
    </w:p>
    <w:p w14:paraId="6D8E2DC3">
      <w:pPr>
        <w:spacing w:line="336" w:lineRule="auto"/>
        <w:ind w:firstLine="420" w:firstLineChars="200"/>
        <w:jc w:val="left"/>
        <w:rPr>
          <w:rFonts w:hint="eastAsia"/>
          <w:color w:val="auto"/>
          <w:szCs w:val="21"/>
          <w:highlight w:val="none"/>
        </w:rPr>
      </w:pPr>
      <w:r>
        <w:rPr>
          <w:rFonts w:hint="eastAsia"/>
          <w:color w:val="auto"/>
          <w:szCs w:val="21"/>
          <w:highlight w:val="none"/>
        </w:rPr>
        <w:t>2、服务内容：甲方委托乙方实施并完成</w:t>
      </w:r>
      <w:r>
        <w:rPr>
          <w:rFonts w:hint="eastAsia"/>
          <w:color w:val="auto"/>
          <w:szCs w:val="21"/>
          <w:highlight w:val="none"/>
          <w:lang w:eastAsia="zh-CN"/>
        </w:rPr>
        <w:t>鲁山县地质灾害防治“十五五”规划项目</w:t>
      </w:r>
      <w:r>
        <w:rPr>
          <w:rFonts w:hint="eastAsia"/>
          <w:color w:val="auto"/>
          <w:szCs w:val="21"/>
          <w:highlight w:val="none"/>
        </w:rPr>
        <w:t>任务（包括</w:t>
      </w:r>
      <w:r>
        <w:rPr>
          <w:rFonts w:hint="eastAsia"/>
          <w:color w:val="auto"/>
          <w:szCs w:val="21"/>
          <w:highlight w:val="none"/>
          <w:lang w:val="en-US" w:eastAsia="zh-CN"/>
        </w:rPr>
        <w:t>规划文本、编制说明、规划附表、规划图件、数据库建设等</w:t>
      </w:r>
      <w:r>
        <w:rPr>
          <w:rFonts w:hint="eastAsia"/>
          <w:color w:val="auto"/>
          <w:szCs w:val="21"/>
          <w:highlight w:val="none"/>
        </w:rPr>
        <w:t>）。</w:t>
      </w:r>
    </w:p>
    <w:p w14:paraId="26EBA1AE">
      <w:pPr>
        <w:spacing w:line="336" w:lineRule="auto"/>
        <w:ind w:firstLine="420" w:firstLineChars="200"/>
        <w:jc w:val="left"/>
        <w:rPr>
          <w:color w:val="auto"/>
          <w:szCs w:val="21"/>
          <w:highlight w:val="none"/>
        </w:rPr>
      </w:pPr>
      <w:r>
        <w:rPr>
          <w:rFonts w:hint="eastAsia"/>
          <w:color w:val="auto"/>
          <w:szCs w:val="21"/>
          <w:highlight w:val="none"/>
        </w:rPr>
        <w:t>3、服务</w:t>
      </w:r>
      <w:r>
        <w:rPr>
          <w:rFonts w:hint="eastAsia"/>
          <w:color w:val="auto"/>
          <w:szCs w:val="21"/>
          <w:highlight w:val="none"/>
          <w:lang w:val="en-US" w:eastAsia="zh-CN"/>
        </w:rPr>
        <w:t>期限</w:t>
      </w:r>
      <w:r>
        <w:rPr>
          <w:rFonts w:hint="eastAsia"/>
          <w:color w:val="auto"/>
          <w:szCs w:val="21"/>
          <w:highlight w:val="none"/>
        </w:rPr>
        <w:t>：本项目应在合同签订后6个月内完工。</w:t>
      </w:r>
    </w:p>
    <w:p w14:paraId="4BD39BC1">
      <w:pPr>
        <w:spacing w:line="336" w:lineRule="auto"/>
        <w:ind w:firstLine="420" w:firstLineChars="200"/>
        <w:jc w:val="left"/>
        <w:rPr>
          <w:color w:val="auto"/>
          <w:szCs w:val="21"/>
          <w:highlight w:val="none"/>
        </w:rPr>
      </w:pPr>
      <w:r>
        <w:rPr>
          <w:rFonts w:hint="eastAsia"/>
          <w:color w:val="auto"/>
          <w:szCs w:val="21"/>
          <w:highlight w:val="none"/>
        </w:rPr>
        <w:t>4、质量：满足相关标准、规范、政策要求，通过有关部门审核。</w:t>
      </w:r>
    </w:p>
    <w:p w14:paraId="20B4ECE8">
      <w:pPr>
        <w:spacing w:line="336" w:lineRule="auto"/>
        <w:ind w:firstLine="420" w:firstLineChars="200"/>
        <w:jc w:val="left"/>
        <w:rPr>
          <w:rFonts w:hint="eastAsia"/>
          <w:color w:val="auto"/>
          <w:szCs w:val="21"/>
          <w:highlight w:val="none"/>
        </w:rPr>
      </w:pPr>
      <w:r>
        <w:rPr>
          <w:rFonts w:hint="eastAsia"/>
          <w:color w:val="auto"/>
          <w:szCs w:val="21"/>
          <w:highlight w:val="none"/>
        </w:rPr>
        <w:t>5、服务地点：</w:t>
      </w:r>
      <w:r>
        <w:rPr>
          <w:rFonts w:hint="eastAsia"/>
          <w:color w:val="auto"/>
          <w:szCs w:val="21"/>
          <w:highlight w:val="none"/>
          <w:lang w:val="en-US" w:eastAsia="zh-CN"/>
        </w:rPr>
        <w:t>采购人指定地点</w:t>
      </w:r>
      <w:r>
        <w:rPr>
          <w:rFonts w:hint="eastAsia"/>
          <w:color w:val="auto"/>
          <w:szCs w:val="21"/>
          <w:highlight w:val="none"/>
        </w:rPr>
        <w:t>。</w:t>
      </w:r>
    </w:p>
    <w:p w14:paraId="105CA5C1">
      <w:pPr>
        <w:spacing w:line="336" w:lineRule="auto"/>
        <w:ind w:firstLine="420" w:firstLineChars="200"/>
        <w:jc w:val="left"/>
        <w:rPr>
          <w:rFonts w:hint="eastAsia"/>
          <w:color w:val="auto"/>
          <w:szCs w:val="21"/>
          <w:highlight w:val="none"/>
        </w:rPr>
      </w:pPr>
      <w:r>
        <w:rPr>
          <w:rFonts w:hint="eastAsia"/>
          <w:color w:val="auto"/>
          <w:szCs w:val="21"/>
          <w:highlight w:val="none"/>
        </w:rPr>
        <w:t>二、</w:t>
      </w:r>
      <w:r>
        <w:rPr>
          <w:rFonts w:hint="eastAsia"/>
          <w:b/>
          <w:bCs/>
          <w:color w:val="auto"/>
          <w:szCs w:val="21"/>
          <w:highlight w:val="none"/>
        </w:rPr>
        <w:t>甲方的权利和义务</w:t>
      </w:r>
    </w:p>
    <w:p w14:paraId="38466F8B">
      <w:pPr>
        <w:spacing w:line="336" w:lineRule="auto"/>
        <w:ind w:firstLine="420" w:firstLineChars="200"/>
        <w:jc w:val="left"/>
        <w:rPr>
          <w:rFonts w:hint="eastAsia"/>
          <w:color w:val="auto"/>
          <w:szCs w:val="21"/>
          <w:highlight w:val="none"/>
        </w:rPr>
      </w:pPr>
      <w:r>
        <w:rPr>
          <w:rFonts w:hint="eastAsia"/>
          <w:color w:val="auto"/>
          <w:szCs w:val="21"/>
          <w:highlight w:val="none"/>
        </w:rPr>
        <w:t>(一)甲方的权利</w:t>
      </w:r>
    </w:p>
    <w:p w14:paraId="1051413A">
      <w:pPr>
        <w:spacing w:line="336" w:lineRule="auto"/>
        <w:ind w:firstLine="420" w:firstLineChars="200"/>
        <w:jc w:val="left"/>
        <w:rPr>
          <w:rFonts w:hint="eastAsia"/>
          <w:color w:val="auto"/>
          <w:szCs w:val="21"/>
          <w:highlight w:val="none"/>
        </w:rPr>
      </w:pPr>
      <w:r>
        <w:rPr>
          <w:rFonts w:hint="eastAsia"/>
          <w:color w:val="auto"/>
          <w:szCs w:val="21"/>
          <w:highlight w:val="none"/>
        </w:rPr>
        <w:t>1、有权要求乙方严格按照双方确认的工作时间完成本协议约定的乙方承担的工作，有权随时了解乙方的工作安排和进度，并对乙方的工作提出意见。</w:t>
      </w:r>
    </w:p>
    <w:p w14:paraId="5484F6C5">
      <w:pPr>
        <w:spacing w:line="336" w:lineRule="auto"/>
        <w:ind w:firstLine="420" w:firstLineChars="200"/>
        <w:jc w:val="left"/>
        <w:rPr>
          <w:rFonts w:hint="eastAsia"/>
          <w:color w:val="auto"/>
          <w:szCs w:val="21"/>
          <w:highlight w:val="none"/>
        </w:rPr>
      </w:pPr>
      <w:r>
        <w:rPr>
          <w:rFonts w:hint="eastAsia"/>
          <w:color w:val="auto"/>
          <w:szCs w:val="21"/>
          <w:highlight w:val="none"/>
        </w:rPr>
        <w:t>2、有权决定本次项目的工作范围。</w:t>
      </w:r>
    </w:p>
    <w:p w14:paraId="79005C97">
      <w:pPr>
        <w:spacing w:line="336" w:lineRule="auto"/>
        <w:ind w:firstLine="420" w:firstLineChars="200"/>
        <w:jc w:val="left"/>
        <w:rPr>
          <w:rFonts w:hint="eastAsia"/>
          <w:color w:val="auto"/>
          <w:szCs w:val="21"/>
          <w:highlight w:val="none"/>
        </w:rPr>
      </w:pPr>
      <w:r>
        <w:rPr>
          <w:rFonts w:hint="eastAsia"/>
          <w:color w:val="auto"/>
          <w:szCs w:val="21"/>
          <w:highlight w:val="none"/>
        </w:rPr>
        <w:t>3、要求乙方在法律法规的规定范围内切实维护甲方的利益。</w:t>
      </w:r>
    </w:p>
    <w:p w14:paraId="1E633BB0">
      <w:pPr>
        <w:spacing w:line="336" w:lineRule="auto"/>
        <w:ind w:firstLine="420" w:firstLineChars="200"/>
        <w:jc w:val="left"/>
        <w:rPr>
          <w:rFonts w:hint="eastAsia"/>
          <w:color w:val="auto"/>
          <w:szCs w:val="21"/>
          <w:highlight w:val="none"/>
        </w:rPr>
      </w:pPr>
      <w:r>
        <w:rPr>
          <w:rFonts w:hint="eastAsia"/>
          <w:color w:val="auto"/>
          <w:szCs w:val="21"/>
          <w:highlight w:val="none"/>
        </w:rPr>
        <w:t>(二)甲方的义务</w:t>
      </w:r>
    </w:p>
    <w:p w14:paraId="4B247D27">
      <w:pPr>
        <w:spacing w:line="336" w:lineRule="auto"/>
        <w:ind w:firstLine="420" w:firstLineChars="200"/>
        <w:jc w:val="left"/>
        <w:rPr>
          <w:rFonts w:hint="eastAsia"/>
          <w:color w:val="auto"/>
          <w:szCs w:val="21"/>
          <w:highlight w:val="none"/>
        </w:rPr>
      </w:pPr>
      <w:r>
        <w:rPr>
          <w:rFonts w:hint="eastAsia"/>
          <w:color w:val="auto"/>
          <w:szCs w:val="21"/>
          <w:highlight w:val="none"/>
        </w:rPr>
        <w:t>1、按乙方工作相关要求提供与委托事项有关的资料，保证资料的真实、完整。</w:t>
      </w:r>
    </w:p>
    <w:p w14:paraId="165DB5FD">
      <w:pPr>
        <w:spacing w:line="336" w:lineRule="auto"/>
        <w:ind w:firstLine="420" w:firstLineChars="200"/>
        <w:jc w:val="left"/>
        <w:rPr>
          <w:rFonts w:hint="eastAsia"/>
          <w:color w:val="auto"/>
          <w:szCs w:val="21"/>
          <w:highlight w:val="none"/>
        </w:rPr>
      </w:pPr>
      <w:r>
        <w:rPr>
          <w:rFonts w:hint="eastAsia"/>
          <w:color w:val="auto"/>
          <w:szCs w:val="21"/>
          <w:highlight w:val="none"/>
        </w:rPr>
        <w:t>2、按本协议约定向乙方支付费用。</w:t>
      </w:r>
    </w:p>
    <w:p w14:paraId="34536622">
      <w:pPr>
        <w:spacing w:line="336" w:lineRule="auto"/>
        <w:ind w:firstLine="420" w:firstLineChars="200"/>
        <w:jc w:val="left"/>
        <w:rPr>
          <w:rFonts w:hint="eastAsia"/>
          <w:color w:val="auto"/>
          <w:szCs w:val="21"/>
          <w:highlight w:val="none"/>
        </w:rPr>
      </w:pPr>
      <w:r>
        <w:rPr>
          <w:rFonts w:hint="eastAsia"/>
          <w:color w:val="auto"/>
          <w:szCs w:val="21"/>
          <w:highlight w:val="none"/>
        </w:rPr>
        <w:t>三、</w:t>
      </w:r>
      <w:r>
        <w:rPr>
          <w:rFonts w:hint="eastAsia"/>
          <w:b/>
          <w:bCs/>
          <w:color w:val="auto"/>
          <w:szCs w:val="21"/>
          <w:highlight w:val="none"/>
        </w:rPr>
        <w:t>乙方的权利和义务</w:t>
      </w:r>
    </w:p>
    <w:p w14:paraId="3E9E5341">
      <w:pPr>
        <w:spacing w:line="336" w:lineRule="auto"/>
        <w:ind w:firstLine="420" w:firstLineChars="200"/>
        <w:jc w:val="left"/>
        <w:rPr>
          <w:rFonts w:hint="eastAsia"/>
          <w:color w:val="auto"/>
          <w:szCs w:val="21"/>
          <w:highlight w:val="none"/>
        </w:rPr>
      </w:pPr>
      <w:r>
        <w:rPr>
          <w:rFonts w:hint="eastAsia"/>
          <w:color w:val="auto"/>
          <w:szCs w:val="21"/>
          <w:highlight w:val="none"/>
        </w:rPr>
        <w:t>(一)乙方的权利</w:t>
      </w:r>
    </w:p>
    <w:p w14:paraId="6B432572">
      <w:pPr>
        <w:spacing w:line="336" w:lineRule="auto"/>
        <w:ind w:firstLine="420" w:firstLineChars="200"/>
        <w:jc w:val="left"/>
        <w:rPr>
          <w:rFonts w:hint="eastAsia"/>
          <w:color w:val="auto"/>
          <w:szCs w:val="21"/>
          <w:highlight w:val="none"/>
        </w:rPr>
      </w:pPr>
      <w:r>
        <w:rPr>
          <w:rFonts w:hint="eastAsia"/>
          <w:color w:val="auto"/>
          <w:szCs w:val="21"/>
          <w:highlight w:val="none"/>
        </w:rPr>
        <w:t>1、要求甲方真实、完整、及时地提供乙方为完成本协议约定工作事项所需资料。</w:t>
      </w:r>
    </w:p>
    <w:p w14:paraId="3BEF1BCF">
      <w:pPr>
        <w:spacing w:line="336" w:lineRule="auto"/>
        <w:ind w:firstLine="420" w:firstLineChars="200"/>
        <w:jc w:val="left"/>
        <w:rPr>
          <w:rFonts w:hint="eastAsia"/>
          <w:color w:val="auto"/>
          <w:szCs w:val="21"/>
          <w:highlight w:val="none"/>
        </w:rPr>
      </w:pPr>
      <w:r>
        <w:rPr>
          <w:rFonts w:hint="eastAsia"/>
          <w:color w:val="auto"/>
          <w:szCs w:val="21"/>
          <w:highlight w:val="none"/>
        </w:rPr>
        <w:t>2、要求甲方按本协议约定支付费用。</w:t>
      </w:r>
    </w:p>
    <w:p w14:paraId="73EC6A91">
      <w:pPr>
        <w:spacing w:line="336" w:lineRule="auto"/>
        <w:ind w:firstLine="420" w:firstLineChars="200"/>
        <w:jc w:val="left"/>
        <w:rPr>
          <w:rFonts w:hint="eastAsia"/>
          <w:color w:val="auto"/>
          <w:szCs w:val="21"/>
          <w:highlight w:val="none"/>
        </w:rPr>
      </w:pPr>
      <w:r>
        <w:rPr>
          <w:rFonts w:hint="eastAsia"/>
          <w:color w:val="auto"/>
          <w:szCs w:val="21"/>
          <w:highlight w:val="none"/>
        </w:rPr>
        <w:t>(二)乙方的义务</w:t>
      </w:r>
    </w:p>
    <w:p w14:paraId="44AE5430">
      <w:pPr>
        <w:spacing w:line="336" w:lineRule="auto"/>
        <w:ind w:firstLine="420" w:firstLineChars="200"/>
        <w:jc w:val="left"/>
        <w:rPr>
          <w:rFonts w:hint="eastAsia"/>
          <w:color w:val="auto"/>
          <w:szCs w:val="21"/>
          <w:highlight w:val="none"/>
        </w:rPr>
      </w:pPr>
      <w:r>
        <w:rPr>
          <w:rFonts w:hint="eastAsia"/>
          <w:color w:val="auto"/>
          <w:szCs w:val="21"/>
          <w:highlight w:val="none"/>
        </w:rPr>
        <w:t>1、成果质量要求：满足相关标准、规范、政策要求，通过有关部门审核。</w:t>
      </w:r>
    </w:p>
    <w:p w14:paraId="713DB621">
      <w:pPr>
        <w:spacing w:line="336" w:lineRule="auto"/>
        <w:ind w:firstLine="420" w:firstLineChars="200"/>
        <w:jc w:val="left"/>
        <w:rPr>
          <w:rFonts w:hint="eastAsia"/>
          <w:color w:val="auto"/>
          <w:szCs w:val="21"/>
          <w:highlight w:val="none"/>
        </w:rPr>
      </w:pPr>
      <w:r>
        <w:rPr>
          <w:rFonts w:hint="eastAsia"/>
          <w:color w:val="auto"/>
          <w:szCs w:val="21"/>
          <w:highlight w:val="none"/>
        </w:rPr>
        <w:t>2、不得以任何方式向第三方泄露甲方提供的数据资料。</w:t>
      </w:r>
    </w:p>
    <w:p w14:paraId="2DD6A3BA">
      <w:pPr>
        <w:spacing w:line="336" w:lineRule="auto"/>
        <w:ind w:firstLine="420" w:firstLineChars="200"/>
        <w:jc w:val="left"/>
        <w:rPr>
          <w:rFonts w:hint="eastAsia"/>
          <w:color w:val="auto"/>
          <w:szCs w:val="21"/>
          <w:highlight w:val="none"/>
        </w:rPr>
      </w:pPr>
      <w:r>
        <w:rPr>
          <w:rFonts w:hint="eastAsia"/>
          <w:color w:val="auto"/>
          <w:szCs w:val="21"/>
          <w:highlight w:val="none"/>
        </w:rPr>
        <w:t>3、及时向甲方通报工作的进展情况，并自觉接受甲方的监督。</w:t>
      </w:r>
    </w:p>
    <w:p w14:paraId="7FBA887C">
      <w:pPr>
        <w:spacing w:line="336" w:lineRule="auto"/>
        <w:ind w:firstLine="420" w:firstLineChars="200"/>
        <w:jc w:val="left"/>
        <w:rPr>
          <w:rFonts w:hint="eastAsia"/>
          <w:color w:val="auto"/>
          <w:szCs w:val="21"/>
          <w:highlight w:val="none"/>
        </w:rPr>
      </w:pPr>
      <w:r>
        <w:rPr>
          <w:rFonts w:hint="eastAsia"/>
          <w:color w:val="auto"/>
          <w:szCs w:val="21"/>
          <w:highlight w:val="none"/>
        </w:rPr>
        <w:t>4、及时向甲方通报评估工作的进展情况，并自觉接受甲方的监督。</w:t>
      </w:r>
    </w:p>
    <w:p w14:paraId="22F514F3">
      <w:pPr>
        <w:spacing w:line="336" w:lineRule="auto"/>
        <w:ind w:firstLine="420" w:firstLineChars="200"/>
        <w:jc w:val="left"/>
        <w:rPr>
          <w:color w:val="auto"/>
          <w:szCs w:val="21"/>
          <w:highlight w:val="none"/>
        </w:rPr>
      </w:pPr>
      <w:r>
        <w:rPr>
          <w:rFonts w:hint="eastAsia"/>
          <w:color w:val="auto"/>
          <w:szCs w:val="21"/>
          <w:highlight w:val="none"/>
        </w:rPr>
        <w:t>5、乙方在为甲方提供服务时所获得成果的知识产权归甲方所有，乙方不得出于任何目的向第三方披露或许可第三方使用。主要以该项目形成的成果参加各类评奖，应经甲方同意，与甲方共同申报。</w:t>
      </w:r>
    </w:p>
    <w:p w14:paraId="1EB6E658">
      <w:pPr>
        <w:spacing w:line="336" w:lineRule="auto"/>
        <w:ind w:firstLine="422" w:firstLineChars="200"/>
        <w:jc w:val="left"/>
        <w:rPr>
          <w:rFonts w:hint="eastAsia"/>
          <w:b/>
          <w:bCs/>
          <w:color w:val="auto"/>
          <w:szCs w:val="21"/>
          <w:highlight w:val="none"/>
        </w:rPr>
      </w:pPr>
      <w:r>
        <w:rPr>
          <w:rFonts w:hint="eastAsia"/>
          <w:b/>
          <w:bCs/>
          <w:color w:val="auto"/>
          <w:szCs w:val="21"/>
          <w:highlight w:val="none"/>
        </w:rPr>
        <w:t>四、成果的交付</w:t>
      </w:r>
    </w:p>
    <w:p w14:paraId="4F7C05E4">
      <w:pPr>
        <w:spacing w:line="336"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成果交付时间及方式：</w:t>
      </w:r>
      <w:r>
        <w:rPr>
          <w:rFonts w:hint="eastAsia"/>
          <w:color w:val="auto"/>
          <w:szCs w:val="21"/>
          <w:highlight w:val="none"/>
          <w:lang w:val="en-US" w:eastAsia="zh-CN"/>
        </w:rPr>
        <w:t>按照主管部门要求时间内，乙方将上级主管部门审核通过的最终成果</w:t>
      </w:r>
      <w:r>
        <w:rPr>
          <w:rFonts w:hint="eastAsia"/>
          <w:color w:val="auto"/>
          <w:szCs w:val="21"/>
          <w:highlight w:val="none"/>
        </w:rPr>
        <w:t>（包括</w:t>
      </w:r>
      <w:r>
        <w:rPr>
          <w:rFonts w:hint="eastAsia"/>
          <w:color w:val="auto"/>
          <w:szCs w:val="21"/>
          <w:highlight w:val="none"/>
          <w:lang w:val="en-US" w:eastAsia="zh-CN"/>
        </w:rPr>
        <w:t>规划文本、编制说明、规划附表、规划图件、数据库建设等</w:t>
      </w:r>
      <w:r>
        <w:rPr>
          <w:rFonts w:hint="eastAsia"/>
          <w:color w:val="auto"/>
          <w:szCs w:val="21"/>
          <w:highlight w:val="none"/>
        </w:rPr>
        <w:t>）</w:t>
      </w:r>
      <w:r>
        <w:rPr>
          <w:rFonts w:hint="eastAsia"/>
          <w:color w:val="auto"/>
          <w:szCs w:val="21"/>
          <w:highlight w:val="none"/>
          <w:lang w:val="en-US" w:eastAsia="zh-CN"/>
        </w:rPr>
        <w:t>交付给甲方，包含纸质资料四套，电子档案一套。</w:t>
      </w:r>
    </w:p>
    <w:p w14:paraId="0B49E04D">
      <w:pPr>
        <w:spacing w:line="336" w:lineRule="auto"/>
        <w:ind w:firstLine="422" w:firstLineChars="200"/>
        <w:jc w:val="left"/>
        <w:rPr>
          <w:rFonts w:hint="eastAsia"/>
          <w:color w:val="auto"/>
          <w:szCs w:val="21"/>
          <w:highlight w:val="none"/>
        </w:rPr>
      </w:pPr>
      <w:r>
        <w:rPr>
          <w:rFonts w:hint="eastAsia"/>
          <w:b/>
          <w:bCs/>
          <w:color w:val="auto"/>
          <w:szCs w:val="21"/>
          <w:highlight w:val="none"/>
        </w:rPr>
        <w:t>五、费用：</w:t>
      </w:r>
      <w:r>
        <w:rPr>
          <w:rFonts w:hint="eastAsia"/>
          <w:color w:val="auto"/>
          <w:szCs w:val="21"/>
          <w:highlight w:val="none"/>
          <w:u w:val="single"/>
        </w:rPr>
        <w:t xml:space="preserve">         </w:t>
      </w:r>
      <w:r>
        <w:rPr>
          <w:rFonts w:hint="eastAsia"/>
          <w:color w:val="auto"/>
          <w:szCs w:val="21"/>
          <w:highlight w:val="none"/>
        </w:rPr>
        <w:t>元，大写人民币：</w:t>
      </w:r>
      <w:r>
        <w:rPr>
          <w:rFonts w:hint="eastAsia"/>
          <w:color w:val="auto"/>
          <w:szCs w:val="21"/>
          <w:highlight w:val="none"/>
          <w:u w:val="single"/>
        </w:rPr>
        <w:t xml:space="preserve">               </w:t>
      </w:r>
      <w:r>
        <w:rPr>
          <w:rFonts w:hint="eastAsia"/>
          <w:color w:val="auto"/>
          <w:szCs w:val="21"/>
          <w:highlight w:val="none"/>
        </w:rPr>
        <w:t>。</w:t>
      </w:r>
    </w:p>
    <w:p w14:paraId="169F676F">
      <w:pPr>
        <w:spacing w:line="336" w:lineRule="auto"/>
        <w:ind w:firstLine="422" w:firstLineChars="200"/>
        <w:rPr>
          <w:rFonts w:hint="eastAsia"/>
          <w:color w:val="auto"/>
          <w:szCs w:val="21"/>
          <w:highlight w:val="none"/>
          <w:u w:val="single"/>
        </w:rPr>
      </w:pPr>
      <w:r>
        <w:rPr>
          <w:rFonts w:hint="eastAsia"/>
          <w:b/>
          <w:bCs/>
          <w:color w:val="auto"/>
          <w:szCs w:val="21"/>
          <w:highlight w:val="none"/>
        </w:rPr>
        <w:t>六、费用支付方式：</w:t>
      </w:r>
      <w:bookmarkStart w:id="296" w:name="OLE_LINK9"/>
      <w:bookmarkEnd w:id="296"/>
      <w:bookmarkStart w:id="297" w:name="OLE_LINK8"/>
      <w:bookmarkEnd w:id="297"/>
      <w:r>
        <w:rPr>
          <w:rFonts w:hint="eastAsia"/>
          <w:color w:val="auto"/>
          <w:highlight w:val="none"/>
        </w:rPr>
        <w:t>合同签订生效后，乙方按甲方要求，积极组织方案编制，完成</w:t>
      </w:r>
      <w:r>
        <w:rPr>
          <w:rFonts w:hint="eastAsia"/>
          <w:color w:val="auto"/>
          <w:highlight w:val="none"/>
          <w:lang w:val="en-US" w:eastAsia="zh-CN"/>
        </w:rPr>
        <w:t>规划文本初稿</w:t>
      </w:r>
      <w:r>
        <w:rPr>
          <w:rFonts w:hint="eastAsia"/>
          <w:color w:val="auto"/>
          <w:highlight w:val="none"/>
        </w:rPr>
        <w:t>后，甲方向乙方支付合同额50%作为首付款，乙方完成收集资料、</w:t>
      </w:r>
      <w:r>
        <w:rPr>
          <w:rFonts w:hint="eastAsia"/>
          <w:color w:val="auto"/>
          <w:highlight w:val="none"/>
          <w:lang w:val="en-US" w:eastAsia="zh-CN"/>
        </w:rPr>
        <w:t>出具送审规划</w:t>
      </w:r>
      <w:r>
        <w:rPr>
          <w:rFonts w:hint="eastAsia"/>
          <w:color w:val="auto"/>
          <w:highlight w:val="none"/>
        </w:rPr>
        <w:t>成果后甲方向乙方支付合同额40%，乙方完成</w:t>
      </w:r>
      <w:r>
        <w:rPr>
          <w:rFonts w:hint="eastAsia"/>
          <w:color w:val="auto"/>
          <w:highlight w:val="none"/>
          <w:lang w:val="en-US" w:eastAsia="zh-CN"/>
        </w:rPr>
        <w:t>成果最终验收并通过后</w:t>
      </w:r>
      <w:r>
        <w:rPr>
          <w:rFonts w:hint="eastAsia"/>
          <w:color w:val="auto"/>
          <w:highlight w:val="none"/>
        </w:rPr>
        <w:t>十个工作日内，甲方向乙方支付合同额剩余10%。</w:t>
      </w:r>
      <w:r>
        <w:rPr>
          <w:rFonts w:hint="eastAsia"/>
          <w:color w:val="auto"/>
          <w:szCs w:val="21"/>
          <w:highlight w:val="none"/>
        </w:rPr>
        <w:t xml:space="preserve">              </w:t>
      </w:r>
    </w:p>
    <w:p w14:paraId="7FB2CEFC">
      <w:pPr>
        <w:spacing w:line="336" w:lineRule="auto"/>
        <w:ind w:firstLine="422" w:firstLineChars="200"/>
        <w:rPr>
          <w:rFonts w:hint="eastAsia"/>
          <w:b/>
          <w:bCs/>
          <w:color w:val="auto"/>
          <w:szCs w:val="21"/>
          <w:highlight w:val="none"/>
        </w:rPr>
      </w:pPr>
      <w:r>
        <w:rPr>
          <w:rFonts w:hint="eastAsia"/>
          <w:b/>
          <w:bCs/>
          <w:color w:val="auto"/>
          <w:szCs w:val="21"/>
          <w:highlight w:val="none"/>
        </w:rPr>
        <w:t>七、本协议的变更或中止、解除</w:t>
      </w:r>
    </w:p>
    <w:p w14:paraId="1B1957B5">
      <w:pPr>
        <w:spacing w:line="336" w:lineRule="auto"/>
        <w:ind w:firstLine="420" w:firstLineChars="200"/>
        <w:jc w:val="left"/>
        <w:rPr>
          <w:rFonts w:hint="eastAsia"/>
          <w:color w:val="auto"/>
          <w:szCs w:val="21"/>
          <w:highlight w:val="none"/>
        </w:rPr>
      </w:pPr>
      <w:r>
        <w:rPr>
          <w:rFonts w:hint="eastAsia"/>
          <w:color w:val="auto"/>
          <w:szCs w:val="21"/>
          <w:highlight w:val="none"/>
        </w:rPr>
        <w:t>1、经双方事先书面同意，本协议可以变更或解除。</w:t>
      </w:r>
    </w:p>
    <w:p w14:paraId="47A5A300">
      <w:pPr>
        <w:spacing w:line="336" w:lineRule="auto"/>
        <w:ind w:firstLine="420" w:firstLineChars="200"/>
        <w:jc w:val="left"/>
        <w:rPr>
          <w:rFonts w:hint="eastAsia"/>
          <w:color w:val="auto"/>
          <w:szCs w:val="21"/>
          <w:highlight w:val="none"/>
        </w:rPr>
      </w:pPr>
      <w:r>
        <w:rPr>
          <w:rFonts w:hint="eastAsia"/>
          <w:color w:val="auto"/>
          <w:szCs w:val="21"/>
          <w:highlight w:val="none"/>
        </w:rPr>
        <w:t>2、因甲方原因造成该项目工作无法正常进行，乙方可以中止履行协议，乙方可以书面通知甲方解除本合同，并根据乙方实际完成的工作量确定评估费用，并进行结算。</w:t>
      </w:r>
    </w:p>
    <w:p w14:paraId="62E5D5BD">
      <w:pPr>
        <w:spacing w:line="336" w:lineRule="auto"/>
        <w:ind w:firstLine="420" w:firstLineChars="200"/>
        <w:jc w:val="left"/>
        <w:rPr>
          <w:rFonts w:hint="eastAsia"/>
          <w:color w:val="auto"/>
          <w:szCs w:val="21"/>
          <w:highlight w:val="none"/>
        </w:rPr>
      </w:pPr>
      <w:r>
        <w:rPr>
          <w:rFonts w:hint="eastAsia"/>
          <w:color w:val="auto"/>
          <w:szCs w:val="21"/>
          <w:highlight w:val="none"/>
        </w:rPr>
        <w:t>3、因乙方原因未履行本协议或违约，甲方可以书面通知乙方解除本协议，乙方应向甲方退还评估费用。</w:t>
      </w:r>
    </w:p>
    <w:p w14:paraId="1E36B5A5">
      <w:pPr>
        <w:spacing w:line="336" w:lineRule="auto"/>
        <w:ind w:firstLine="420" w:firstLineChars="200"/>
        <w:jc w:val="left"/>
        <w:rPr>
          <w:rFonts w:hint="eastAsia"/>
          <w:color w:val="auto"/>
          <w:szCs w:val="21"/>
          <w:highlight w:val="none"/>
        </w:rPr>
      </w:pPr>
      <w:r>
        <w:rPr>
          <w:rFonts w:hint="eastAsia"/>
          <w:color w:val="auto"/>
          <w:szCs w:val="21"/>
          <w:highlight w:val="none"/>
        </w:rPr>
        <w:t>4、本协议正式解除或终止前，乙方应按本协议规定继续履行职责。</w:t>
      </w:r>
    </w:p>
    <w:p w14:paraId="4ABFD120">
      <w:pPr>
        <w:spacing w:line="336" w:lineRule="auto"/>
        <w:ind w:firstLine="422" w:firstLineChars="200"/>
        <w:jc w:val="left"/>
        <w:rPr>
          <w:rFonts w:hint="eastAsia"/>
          <w:color w:val="auto"/>
          <w:szCs w:val="21"/>
          <w:highlight w:val="none"/>
        </w:rPr>
      </w:pPr>
      <w:r>
        <w:rPr>
          <w:rFonts w:hint="eastAsia"/>
          <w:b/>
          <w:bCs/>
          <w:color w:val="auto"/>
          <w:szCs w:val="21"/>
          <w:highlight w:val="none"/>
        </w:rPr>
        <w:t>八、不可抗力</w:t>
      </w:r>
    </w:p>
    <w:p w14:paraId="516B89A3">
      <w:pPr>
        <w:spacing w:line="336" w:lineRule="auto"/>
        <w:ind w:firstLine="420" w:firstLineChars="200"/>
        <w:jc w:val="left"/>
        <w:rPr>
          <w:rFonts w:hint="eastAsia"/>
          <w:color w:val="auto"/>
          <w:szCs w:val="21"/>
          <w:highlight w:val="none"/>
          <w:lang w:val="zh-CN"/>
        </w:rPr>
      </w:pPr>
      <w:r>
        <w:rPr>
          <w:rFonts w:hint="eastAsia"/>
          <w:color w:val="auto"/>
          <w:szCs w:val="21"/>
          <w:highlight w:val="none"/>
        </w:rPr>
        <w:t>1、</w:t>
      </w:r>
      <w:r>
        <w:rPr>
          <w:rFonts w:hint="eastAsia"/>
          <w:color w:val="auto"/>
          <w:szCs w:val="21"/>
          <w:highlight w:val="none"/>
          <w:lang w:val="zh-CN"/>
        </w:rPr>
        <w:t>如果本合同任何一方因受不可抗力事件影响而未能履行其在本合同下的全部或部分义务，该义务的履行在不可抗力事件妨碍其履行期间应予中止。</w:t>
      </w:r>
    </w:p>
    <w:p w14:paraId="1BDBA844">
      <w:pPr>
        <w:spacing w:line="336" w:lineRule="auto"/>
        <w:ind w:firstLine="420" w:firstLineChars="200"/>
        <w:jc w:val="left"/>
        <w:rPr>
          <w:rFonts w:hint="eastAsia"/>
          <w:color w:val="auto"/>
          <w:szCs w:val="21"/>
          <w:highlight w:val="none"/>
          <w:lang w:val="zh-CN"/>
        </w:rPr>
      </w:pPr>
      <w:r>
        <w:rPr>
          <w:rFonts w:hint="eastAsia"/>
          <w:color w:val="auto"/>
          <w:szCs w:val="21"/>
          <w:highlight w:val="none"/>
        </w:rPr>
        <w:t>2、</w:t>
      </w:r>
      <w:r>
        <w:rPr>
          <w:rFonts w:hint="eastAsia"/>
          <w:color w:val="auto"/>
          <w:szCs w:val="21"/>
          <w:highlight w:val="none"/>
          <w:lang w:val="zh-CN"/>
        </w:rPr>
        <w:t>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w:t>
      </w:r>
    </w:p>
    <w:p w14:paraId="3039C0B5">
      <w:pPr>
        <w:spacing w:line="336" w:lineRule="auto"/>
        <w:ind w:firstLine="420" w:firstLineChars="200"/>
        <w:jc w:val="left"/>
        <w:rPr>
          <w:rFonts w:hint="eastAsia"/>
          <w:color w:val="auto"/>
          <w:szCs w:val="21"/>
          <w:highlight w:val="none"/>
          <w:lang w:val="zh-CN"/>
        </w:rPr>
      </w:pPr>
      <w:r>
        <w:rPr>
          <w:rFonts w:hint="eastAsia"/>
          <w:color w:val="auto"/>
          <w:szCs w:val="21"/>
          <w:highlight w:val="none"/>
        </w:rPr>
        <w:t>3、</w:t>
      </w:r>
      <w:r>
        <w:rPr>
          <w:rFonts w:hint="eastAsia"/>
          <w:color w:val="auto"/>
          <w:szCs w:val="21"/>
          <w:highlight w:val="none"/>
          <w:lang w:val="zh-CN"/>
        </w:rPr>
        <w:t>当事人迟延履行后发生不可抗力的，不能免除责任。</w:t>
      </w:r>
    </w:p>
    <w:p w14:paraId="4D627525">
      <w:pPr>
        <w:spacing w:line="336" w:lineRule="auto"/>
        <w:ind w:firstLine="422" w:firstLineChars="200"/>
        <w:jc w:val="left"/>
        <w:rPr>
          <w:rFonts w:hint="eastAsia"/>
          <w:b/>
          <w:bCs/>
          <w:color w:val="auto"/>
          <w:szCs w:val="21"/>
          <w:highlight w:val="none"/>
        </w:rPr>
      </w:pPr>
      <w:r>
        <w:rPr>
          <w:rFonts w:hint="eastAsia"/>
          <w:b/>
          <w:bCs/>
          <w:color w:val="auto"/>
          <w:szCs w:val="21"/>
          <w:highlight w:val="none"/>
        </w:rPr>
        <w:t>九、违约责任</w:t>
      </w:r>
    </w:p>
    <w:p w14:paraId="4693DFD6">
      <w:pPr>
        <w:spacing w:line="336" w:lineRule="auto"/>
        <w:ind w:firstLine="420" w:firstLineChars="200"/>
        <w:jc w:val="left"/>
        <w:rPr>
          <w:rFonts w:hint="eastAsia"/>
          <w:color w:val="auto"/>
          <w:szCs w:val="21"/>
          <w:highlight w:val="none"/>
          <w:lang w:val="zh-CN"/>
        </w:rPr>
      </w:pPr>
      <w:r>
        <w:rPr>
          <w:rFonts w:hint="eastAsia"/>
          <w:color w:val="auto"/>
          <w:szCs w:val="21"/>
          <w:highlight w:val="none"/>
          <w:lang w:val="zh-CN"/>
        </w:rPr>
        <w:t>乙方应保证为甲方提供服务时不得侵犯第三人的权利。</w:t>
      </w:r>
    </w:p>
    <w:p w14:paraId="3F63B342">
      <w:pPr>
        <w:spacing w:line="336" w:lineRule="auto"/>
        <w:ind w:firstLine="420" w:firstLineChars="200"/>
        <w:jc w:val="left"/>
        <w:rPr>
          <w:rFonts w:hint="eastAsia"/>
          <w:color w:val="auto"/>
          <w:szCs w:val="21"/>
          <w:highlight w:val="none"/>
          <w:lang w:val="zh-CN"/>
        </w:rPr>
      </w:pPr>
      <w:r>
        <w:rPr>
          <w:rFonts w:hint="eastAsia"/>
          <w:color w:val="auto"/>
          <w:szCs w:val="21"/>
          <w:highlight w:val="none"/>
          <w:lang w:val="zh-CN"/>
        </w:rPr>
        <w:t>乙方在为甲方提供服务时所获得成果的知识产权归甲方所有，乙方不得出于任何目的向第三方披露或许可第三方使用。主要以该项目形成的成果参加各类评奖，应经甲方同意，与甲方共同申报。</w:t>
      </w:r>
    </w:p>
    <w:p w14:paraId="520AE4AC">
      <w:pPr>
        <w:spacing w:line="336" w:lineRule="auto"/>
        <w:ind w:firstLine="420" w:firstLineChars="200"/>
        <w:jc w:val="left"/>
        <w:rPr>
          <w:rFonts w:hint="eastAsia"/>
          <w:color w:val="auto"/>
          <w:szCs w:val="21"/>
          <w:highlight w:val="none"/>
          <w:lang w:val="zh-CN"/>
        </w:rPr>
      </w:pPr>
      <w:r>
        <w:rPr>
          <w:rFonts w:hint="eastAsia"/>
          <w:color w:val="auto"/>
          <w:szCs w:val="21"/>
          <w:highlight w:val="none"/>
          <w:lang w:val="zh-CN"/>
        </w:rPr>
        <w:t>若乙方在为甲方提供服务时侵犯了第三人的权利，致使甲方受到索赔或起诉，由此给甲方造成的一切损失由乙方承担，同时甲方有权解除合同，并有权要求乙方支付合同总额的10%的违约金。</w:t>
      </w:r>
    </w:p>
    <w:p w14:paraId="24BB5685">
      <w:pPr>
        <w:spacing w:line="336" w:lineRule="auto"/>
        <w:ind w:firstLine="420" w:firstLineChars="200"/>
        <w:jc w:val="left"/>
        <w:rPr>
          <w:rFonts w:hint="eastAsia"/>
          <w:color w:val="auto"/>
          <w:szCs w:val="21"/>
          <w:highlight w:val="none"/>
          <w:lang w:val="zh-CN"/>
        </w:rPr>
      </w:pPr>
      <w:r>
        <w:rPr>
          <w:rFonts w:hint="eastAsia"/>
          <w:color w:val="auto"/>
          <w:szCs w:val="21"/>
          <w:highlight w:val="none"/>
          <w:lang w:val="zh-CN"/>
        </w:rPr>
        <w:t>若未经甲方许可，乙方擅自使用或向第三方披露或许可第三方使用在为甲方提供服务时所获得的成果，甲方有权要求乙方或第三方停止使用，同时有权要求乙方支付合同总额20%的违约金。</w:t>
      </w:r>
    </w:p>
    <w:p w14:paraId="699F7FF6">
      <w:pPr>
        <w:spacing w:line="336" w:lineRule="auto"/>
        <w:ind w:firstLine="422" w:firstLineChars="200"/>
        <w:jc w:val="left"/>
        <w:rPr>
          <w:rFonts w:hint="eastAsia"/>
          <w:color w:val="auto"/>
          <w:szCs w:val="21"/>
          <w:highlight w:val="none"/>
        </w:rPr>
      </w:pPr>
      <w:r>
        <w:rPr>
          <w:rFonts w:hint="eastAsia"/>
          <w:b/>
          <w:bCs/>
          <w:color w:val="auto"/>
          <w:szCs w:val="21"/>
          <w:highlight w:val="none"/>
        </w:rPr>
        <w:t>十、争议解决</w:t>
      </w:r>
    </w:p>
    <w:p w14:paraId="10BB8BFE">
      <w:pPr>
        <w:spacing w:line="336" w:lineRule="auto"/>
        <w:ind w:firstLine="420" w:firstLineChars="200"/>
        <w:jc w:val="left"/>
        <w:rPr>
          <w:rFonts w:hint="eastAsia"/>
          <w:color w:val="auto"/>
          <w:szCs w:val="21"/>
          <w:highlight w:val="none"/>
        </w:rPr>
      </w:pPr>
      <w:r>
        <w:rPr>
          <w:rFonts w:hint="eastAsia"/>
          <w:color w:val="auto"/>
          <w:szCs w:val="21"/>
          <w:highlight w:val="none"/>
        </w:rPr>
        <w:t>因履行本协议发生争议，由争议双方协商解决；协商不成的，协议双方均有权向协议签订地人民法院提起诉讼。</w:t>
      </w:r>
    </w:p>
    <w:p w14:paraId="7C856C1E">
      <w:pPr>
        <w:spacing w:line="336" w:lineRule="auto"/>
        <w:ind w:firstLine="422" w:firstLineChars="200"/>
        <w:jc w:val="left"/>
        <w:rPr>
          <w:rFonts w:hint="eastAsia"/>
          <w:b/>
          <w:bCs/>
          <w:color w:val="auto"/>
          <w:szCs w:val="21"/>
          <w:highlight w:val="none"/>
        </w:rPr>
      </w:pPr>
      <w:r>
        <w:rPr>
          <w:rFonts w:hint="eastAsia"/>
          <w:b/>
          <w:bCs/>
          <w:color w:val="auto"/>
          <w:szCs w:val="21"/>
          <w:highlight w:val="none"/>
        </w:rPr>
        <w:t>十ー、协议生效</w:t>
      </w:r>
    </w:p>
    <w:p w14:paraId="6921492B">
      <w:pPr>
        <w:spacing w:line="336" w:lineRule="auto"/>
        <w:ind w:firstLine="420" w:firstLineChars="200"/>
        <w:jc w:val="left"/>
        <w:rPr>
          <w:rFonts w:hint="eastAsia"/>
          <w:color w:val="auto"/>
          <w:szCs w:val="21"/>
          <w:highlight w:val="none"/>
        </w:rPr>
      </w:pPr>
      <w:r>
        <w:rPr>
          <w:rFonts w:hint="eastAsia"/>
          <w:color w:val="auto"/>
          <w:szCs w:val="21"/>
          <w:highlight w:val="none"/>
        </w:rPr>
        <w:t>本协议自双方法定代表人(或授权代理人)签字并加盖公章之日起生效。</w:t>
      </w:r>
    </w:p>
    <w:p w14:paraId="26128E16">
      <w:pPr>
        <w:spacing w:line="336" w:lineRule="auto"/>
        <w:ind w:firstLine="422" w:firstLineChars="200"/>
        <w:jc w:val="left"/>
        <w:rPr>
          <w:rFonts w:hint="eastAsia"/>
          <w:b/>
          <w:bCs/>
          <w:color w:val="auto"/>
          <w:szCs w:val="21"/>
          <w:highlight w:val="none"/>
        </w:rPr>
      </w:pPr>
      <w:r>
        <w:rPr>
          <w:rFonts w:hint="eastAsia"/>
          <w:b/>
          <w:bCs/>
          <w:color w:val="auto"/>
          <w:szCs w:val="21"/>
          <w:highlight w:val="none"/>
        </w:rPr>
        <w:t>十二、其他</w:t>
      </w:r>
    </w:p>
    <w:p w14:paraId="65BF558C">
      <w:pPr>
        <w:spacing w:line="336" w:lineRule="auto"/>
        <w:ind w:firstLine="420" w:firstLineChars="200"/>
        <w:jc w:val="left"/>
        <w:rPr>
          <w:rFonts w:hint="eastAsia"/>
          <w:color w:val="auto"/>
          <w:szCs w:val="21"/>
          <w:highlight w:val="none"/>
        </w:rPr>
      </w:pPr>
      <w:r>
        <w:rPr>
          <w:rFonts w:hint="eastAsia"/>
          <w:color w:val="auto"/>
          <w:szCs w:val="21"/>
          <w:highlight w:val="none"/>
        </w:rPr>
        <w:t>1、本协议的金额项应当同时以大、小写表示，大小写数额应当一致，不一致的，以大写为准。</w:t>
      </w:r>
    </w:p>
    <w:p w14:paraId="715C8622">
      <w:pPr>
        <w:spacing w:line="336" w:lineRule="auto"/>
        <w:ind w:firstLine="420" w:firstLineChars="200"/>
        <w:jc w:val="left"/>
        <w:rPr>
          <w:rFonts w:hint="eastAsia"/>
          <w:color w:val="auto"/>
          <w:szCs w:val="21"/>
          <w:highlight w:val="none"/>
        </w:rPr>
      </w:pPr>
      <w:r>
        <w:rPr>
          <w:rFonts w:hint="eastAsia"/>
          <w:color w:val="auto"/>
          <w:szCs w:val="21"/>
          <w:highlight w:val="none"/>
        </w:rPr>
        <w:t>2、本协议一式肆份，甲方两份、乙方两份，均具有同等法律效力。</w:t>
      </w:r>
    </w:p>
    <w:p w14:paraId="42C0CD21">
      <w:pPr>
        <w:spacing w:line="360" w:lineRule="auto"/>
        <w:ind w:firstLine="422" w:firstLineChars="200"/>
        <w:jc w:val="left"/>
        <w:rPr>
          <w:rFonts w:hint="eastAsia"/>
          <w:b/>
          <w:bCs/>
          <w:color w:val="auto"/>
          <w:szCs w:val="21"/>
          <w:highlight w:val="none"/>
        </w:rPr>
      </w:pPr>
      <w:r>
        <w:rPr>
          <w:rFonts w:hint="eastAsia"/>
          <w:b/>
          <w:bCs/>
          <w:color w:val="auto"/>
          <w:szCs w:val="21"/>
          <w:highlight w:val="none"/>
        </w:rPr>
        <w:t xml:space="preserve">十三、合同签订日期：  年    月    日 </w:t>
      </w:r>
    </w:p>
    <w:tbl>
      <w:tblPr>
        <w:tblStyle w:val="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962"/>
        <w:gridCol w:w="4536"/>
      </w:tblGrid>
      <w:tr w14:paraId="64D1C7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4962" w:type="dxa"/>
            <w:tcBorders>
              <w:top w:val="nil"/>
              <w:left w:val="nil"/>
              <w:bottom w:val="nil"/>
              <w:right w:val="nil"/>
            </w:tcBorders>
            <w:noWrap w:val="0"/>
            <w:vAlign w:val="center"/>
          </w:tcPr>
          <w:p w14:paraId="77AE9E13">
            <w:pPr>
              <w:widowControl/>
              <w:adjustRightInd w:val="0"/>
              <w:snapToGrid w:val="0"/>
              <w:spacing w:line="420" w:lineRule="exact"/>
              <w:ind w:left="1470" w:hanging="1470" w:hangingChars="700"/>
              <w:rPr>
                <w:rFonts w:ascii="宋体"/>
                <w:color w:val="auto"/>
                <w:szCs w:val="21"/>
                <w:highlight w:val="none"/>
              </w:rPr>
            </w:pPr>
            <w:r>
              <w:rPr>
                <w:rFonts w:ascii="宋体"/>
                <w:color w:val="auto"/>
                <w:szCs w:val="21"/>
                <w:highlight w:val="none"/>
              </w:rPr>
              <w:t>甲方（盖章）：</w:t>
            </w:r>
          </w:p>
        </w:tc>
        <w:tc>
          <w:tcPr>
            <w:tcW w:w="4536" w:type="dxa"/>
            <w:tcBorders>
              <w:top w:val="nil"/>
              <w:left w:val="nil"/>
              <w:bottom w:val="nil"/>
              <w:right w:val="nil"/>
            </w:tcBorders>
            <w:noWrap w:val="0"/>
            <w:vAlign w:val="center"/>
          </w:tcPr>
          <w:p w14:paraId="12840C2F">
            <w:pPr>
              <w:widowControl/>
              <w:adjustRightInd w:val="0"/>
              <w:snapToGrid w:val="0"/>
              <w:spacing w:line="420" w:lineRule="exact"/>
              <w:ind w:left="1470" w:hanging="1470" w:hangingChars="700"/>
              <w:rPr>
                <w:rFonts w:ascii="宋体"/>
                <w:color w:val="auto"/>
                <w:szCs w:val="21"/>
                <w:highlight w:val="none"/>
              </w:rPr>
            </w:pPr>
            <w:r>
              <w:rPr>
                <w:rFonts w:ascii="宋体"/>
                <w:color w:val="auto"/>
                <w:szCs w:val="21"/>
                <w:highlight w:val="none"/>
              </w:rPr>
              <w:t>乙方（盖章）：</w:t>
            </w:r>
          </w:p>
        </w:tc>
      </w:tr>
      <w:tr w14:paraId="6B450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4962" w:type="dxa"/>
            <w:tcBorders>
              <w:top w:val="nil"/>
              <w:left w:val="nil"/>
              <w:bottom w:val="nil"/>
              <w:right w:val="nil"/>
            </w:tcBorders>
            <w:noWrap w:val="0"/>
            <w:vAlign w:val="center"/>
          </w:tcPr>
          <w:p w14:paraId="17B334E9">
            <w:pPr>
              <w:widowControl/>
              <w:adjustRightInd w:val="0"/>
              <w:snapToGrid w:val="0"/>
              <w:spacing w:line="420" w:lineRule="exact"/>
              <w:rPr>
                <w:rFonts w:ascii="宋体"/>
                <w:color w:val="auto"/>
                <w:szCs w:val="21"/>
                <w:highlight w:val="none"/>
              </w:rPr>
            </w:pPr>
            <w:r>
              <w:rPr>
                <w:rFonts w:ascii="宋体"/>
                <w:color w:val="auto"/>
                <w:spacing w:val="-20"/>
                <w:szCs w:val="21"/>
                <w:highlight w:val="none"/>
              </w:rPr>
              <w:t>法定代表人（委托人）（签字</w:t>
            </w:r>
            <w:r>
              <w:rPr>
                <w:rFonts w:ascii="宋体" w:cs="Times New Roman"/>
                <w:color w:val="auto"/>
                <w:spacing w:val="-20"/>
                <w:szCs w:val="21"/>
                <w:highlight w:val="none"/>
              </w:rPr>
              <w:t>）：</w:t>
            </w:r>
          </w:p>
        </w:tc>
        <w:tc>
          <w:tcPr>
            <w:tcW w:w="4536" w:type="dxa"/>
            <w:tcBorders>
              <w:top w:val="nil"/>
              <w:left w:val="nil"/>
              <w:bottom w:val="nil"/>
              <w:right w:val="nil"/>
            </w:tcBorders>
            <w:noWrap w:val="0"/>
            <w:vAlign w:val="center"/>
          </w:tcPr>
          <w:p w14:paraId="721EA7DD">
            <w:pPr>
              <w:widowControl/>
              <w:adjustRightInd w:val="0"/>
              <w:snapToGrid w:val="0"/>
              <w:spacing w:line="420" w:lineRule="exact"/>
              <w:rPr>
                <w:rFonts w:ascii="宋体"/>
                <w:color w:val="auto"/>
                <w:szCs w:val="21"/>
                <w:highlight w:val="none"/>
              </w:rPr>
            </w:pPr>
            <w:r>
              <w:rPr>
                <w:rFonts w:ascii="宋体"/>
                <w:color w:val="auto"/>
                <w:spacing w:val="-20"/>
                <w:szCs w:val="21"/>
                <w:highlight w:val="none"/>
              </w:rPr>
              <w:t>法定代表人（委托人）（签字）</w:t>
            </w:r>
            <w:r>
              <w:rPr>
                <w:rFonts w:ascii="宋体" w:cs="Times New Roman"/>
                <w:color w:val="auto"/>
                <w:szCs w:val="21"/>
                <w:highlight w:val="none"/>
              </w:rPr>
              <w:t>：</w:t>
            </w:r>
          </w:p>
        </w:tc>
      </w:tr>
      <w:tr w14:paraId="759247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962" w:type="dxa"/>
            <w:tcBorders>
              <w:top w:val="nil"/>
              <w:left w:val="nil"/>
              <w:bottom w:val="nil"/>
              <w:right w:val="nil"/>
            </w:tcBorders>
            <w:noWrap w:val="0"/>
            <w:vAlign w:val="center"/>
          </w:tcPr>
          <w:p w14:paraId="00BFE745">
            <w:pPr>
              <w:widowControl/>
              <w:adjustRightInd w:val="0"/>
              <w:snapToGrid w:val="0"/>
              <w:spacing w:line="420" w:lineRule="exact"/>
              <w:rPr>
                <w:rFonts w:ascii="宋体"/>
                <w:color w:val="auto"/>
                <w:szCs w:val="21"/>
                <w:highlight w:val="none"/>
              </w:rPr>
            </w:pPr>
            <w:r>
              <w:rPr>
                <w:rFonts w:ascii="宋体"/>
                <w:color w:val="auto"/>
                <w:szCs w:val="21"/>
                <w:highlight w:val="none"/>
              </w:rPr>
              <w:t>通讯地址：</w:t>
            </w:r>
          </w:p>
        </w:tc>
        <w:tc>
          <w:tcPr>
            <w:tcW w:w="4536" w:type="dxa"/>
            <w:tcBorders>
              <w:top w:val="nil"/>
              <w:left w:val="nil"/>
              <w:bottom w:val="nil"/>
              <w:right w:val="nil"/>
            </w:tcBorders>
            <w:noWrap w:val="0"/>
            <w:vAlign w:val="center"/>
          </w:tcPr>
          <w:p w14:paraId="55352230">
            <w:pPr>
              <w:widowControl/>
              <w:adjustRightInd w:val="0"/>
              <w:snapToGrid w:val="0"/>
              <w:spacing w:line="420" w:lineRule="exact"/>
              <w:ind w:left="840" w:hanging="840" w:hangingChars="400"/>
              <w:rPr>
                <w:rFonts w:ascii="宋体"/>
                <w:color w:val="auto"/>
                <w:szCs w:val="21"/>
                <w:highlight w:val="none"/>
              </w:rPr>
            </w:pPr>
            <w:r>
              <w:rPr>
                <w:rFonts w:ascii="宋体"/>
                <w:color w:val="auto"/>
                <w:szCs w:val="21"/>
                <w:highlight w:val="none"/>
              </w:rPr>
              <w:t>通讯地址：</w:t>
            </w:r>
          </w:p>
        </w:tc>
      </w:tr>
      <w:tr w14:paraId="51BB12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4962" w:type="dxa"/>
            <w:tcBorders>
              <w:top w:val="nil"/>
              <w:left w:val="nil"/>
              <w:bottom w:val="nil"/>
              <w:right w:val="nil"/>
            </w:tcBorders>
            <w:noWrap w:val="0"/>
            <w:vAlign w:val="center"/>
          </w:tcPr>
          <w:p w14:paraId="440EFC23">
            <w:pPr>
              <w:widowControl/>
              <w:adjustRightInd w:val="0"/>
              <w:snapToGrid w:val="0"/>
              <w:spacing w:line="420" w:lineRule="exact"/>
              <w:rPr>
                <w:rFonts w:ascii="宋体"/>
                <w:color w:val="auto"/>
                <w:szCs w:val="21"/>
                <w:highlight w:val="none"/>
              </w:rPr>
            </w:pPr>
            <w:r>
              <w:rPr>
                <w:rFonts w:ascii="宋体"/>
                <w:color w:val="auto"/>
                <w:szCs w:val="21"/>
                <w:highlight w:val="none"/>
              </w:rPr>
              <w:t>电</w:t>
            </w:r>
            <w:r>
              <w:rPr>
                <w:rFonts w:ascii="宋体" w:cs="Times New Roman"/>
                <w:color w:val="auto"/>
                <w:szCs w:val="21"/>
                <w:highlight w:val="none"/>
              </w:rPr>
              <w:t xml:space="preserve">  </w:t>
            </w:r>
            <w:r>
              <w:rPr>
                <w:rFonts w:ascii="宋体"/>
                <w:color w:val="auto"/>
                <w:szCs w:val="21"/>
                <w:highlight w:val="none"/>
              </w:rPr>
              <w:t>话：</w:t>
            </w:r>
          </w:p>
        </w:tc>
        <w:tc>
          <w:tcPr>
            <w:tcW w:w="4536" w:type="dxa"/>
            <w:tcBorders>
              <w:top w:val="nil"/>
              <w:left w:val="nil"/>
              <w:bottom w:val="nil"/>
              <w:right w:val="nil"/>
            </w:tcBorders>
            <w:noWrap w:val="0"/>
            <w:vAlign w:val="center"/>
          </w:tcPr>
          <w:p w14:paraId="509CF180">
            <w:pPr>
              <w:widowControl/>
              <w:adjustRightInd w:val="0"/>
              <w:snapToGrid w:val="0"/>
              <w:spacing w:line="420" w:lineRule="exact"/>
              <w:rPr>
                <w:rFonts w:ascii="宋体"/>
                <w:color w:val="auto"/>
                <w:szCs w:val="21"/>
                <w:highlight w:val="none"/>
              </w:rPr>
            </w:pPr>
            <w:r>
              <w:rPr>
                <w:rFonts w:ascii="宋体"/>
                <w:color w:val="auto"/>
                <w:szCs w:val="21"/>
                <w:highlight w:val="none"/>
              </w:rPr>
              <w:t>电</w:t>
            </w:r>
            <w:r>
              <w:rPr>
                <w:rFonts w:ascii="宋体" w:cs="Times New Roman"/>
                <w:color w:val="auto"/>
                <w:szCs w:val="21"/>
                <w:highlight w:val="none"/>
              </w:rPr>
              <w:t xml:space="preserve">  </w:t>
            </w:r>
            <w:r>
              <w:rPr>
                <w:rFonts w:ascii="宋体"/>
                <w:color w:val="auto"/>
                <w:szCs w:val="21"/>
                <w:highlight w:val="none"/>
              </w:rPr>
              <w:t>话：</w:t>
            </w:r>
          </w:p>
        </w:tc>
      </w:tr>
    </w:tbl>
    <w:p w14:paraId="53C94CB9">
      <w:pPr>
        <w:keepNext w:val="0"/>
        <w:keepLines w:val="0"/>
        <w:pageBreakBefore w:val="0"/>
        <w:widowControl w:val="0"/>
        <w:kinsoku/>
        <w:wordWrap/>
        <w:overflowPunct/>
        <w:topLinePunct w:val="0"/>
        <w:autoSpaceDE/>
        <w:autoSpaceDN/>
        <w:bidi w:val="0"/>
        <w:adjustRightInd/>
        <w:snapToGrid/>
        <w:ind w:firstLine="640" w:firstLineChars="200"/>
        <w:rPr>
          <w:color w:val="auto"/>
          <w:sz w:val="32"/>
          <w:szCs w:val="32"/>
          <w:highlight w:val="none"/>
        </w:rPr>
      </w:pPr>
    </w:p>
    <w:p w14:paraId="0B891CB3">
      <w:pPr>
        <w:rPr>
          <w:color w:val="auto"/>
          <w:highlight w:val="none"/>
        </w:rPr>
      </w:pPr>
    </w:p>
    <w:p w14:paraId="18892B8B">
      <w:pPr>
        <w:rPr>
          <w:color w:val="auto"/>
          <w:highlight w:val="none"/>
        </w:rPr>
      </w:pPr>
    </w:p>
    <w:p w14:paraId="310409B5">
      <w:pPr>
        <w:spacing w:line="360" w:lineRule="auto"/>
        <w:ind w:firstLine="723" w:firstLineChars="200"/>
        <w:jc w:val="center"/>
        <w:rPr>
          <w:rFonts w:hint="eastAsia"/>
          <w:b/>
          <w:bCs/>
          <w:color w:val="auto"/>
          <w:sz w:val="36"/>
          <w:szCs w:val="36"/>
          <w:highlight w:val="none"/>
        </w:rPr>
      </w:pPr>
      <w:r>
        <w:rPr>
          <w:rFonts w:hint="eastAsia"/>
          <w:b/>
          <w:bCs/>
          <w:color w:val="auto"/>
          <w:sz w:val="36"/>
          <w:szCs w:val="36"/>
          <w:highlight w:val="none"/>
        </w:rPr>
        <w:br w:type="page"/>
      </w:r>
      <w:r>
        <w:rPr>
          <w:rFonts w:hint="eastAsia"/>
          <w:b/>
          <w:bCs/>
          <w:color w:val="auto"/>
          <w:sz w:val="30"/>
          <w:szCs w:val="30"/>
          <w:highlight w:val="none"/>
        </w:rPr>
        <w:t>第五章  采购内容及服务要求</w:t>
      </w:r>
    </w:p>
    <w:p w14:paraId="6F4A6AD7">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一、项目基本情况</w:t>
      </w:r>
    </w:p>
    <w:p w14:paraId="646E4C4D">
      <w:pPr>
        <w:pStyle w:val="64"/>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1、项目名称：</w:t>
      </w:r>
      <w:r>
        <w:rPr>
          <w:rFonts w:hint="eastAsia" w:ascii="宋体" w:hAnsi="宋体" w:eastAsia="宋体"/>
          <w:color w:val="auto"/>
          <w:sz w:val="24"/>
          <w:szCs w:val="24"/>
          <w:highlight w:val="none"/>
          <w:lang w:eastAsia="zh-CN"/>
        </w:rPr>
        <w:t>鲁山县自然资源局鲁山县地质灾害防治“十五五”规划项目</w:t>
      </w:r>
    </w:p>
    <w:p w14:paraId="4ADE95FC">
      <w:pPr>
        <w:pStyle w:val="64"/>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2、采购内容</w:t>
      </w:r>
      <w:r>
        <w:rPr>
          <w:rFonts w:hint="eastAsia" w:ascii="宋体" w:hAnsi="宋体" w:eastAsia="宋体" w:cs="Times New Roman"/>
          <w:color w:val="auto"/>
          <w:sz w:val="24"/>
          <w:szCs w:val="24"/>
          <w:highlight w:val="none"/>
          <w:lang w:eastAsia="zh-CN"/>
        </w:rPr>
        <w:t>：</w:t>
      </w:r>
    </w:p>
    <w:p w14:paraId="25C8BDB8">
      <w:pPr>
        <w:pStyle w:val="64"/>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鲁山县地质灾害防治“十五五”规划项目，按现行的国家、省、市相关技术规范、标准及行业要求编制鲁山县地质灾害防治“十五五”规划（2026-2030年）文本、编制（修编）说明、规划附表、规划图件、数据库建设等。</w:t>
      </w:r>
    </w:p>
    <w:p w14:paraId="5F241BF6">
      <w:pPr>
        <w:pStyle w:val="64"/>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3、服务期限：自合同签订之</w:t>
      </w:r>
      <w:r>
        <w:rPr>
          <w:rFonts w:hint="eastAsia" w:ascii="宋体" w:hAnsi="宋体" w:eastAsia="宋体"/>
          <w:color w:val="auto"/>
          <w:sz w:val="24"/>
          <w:szCs w:val="24"/>
          <w:highlight w:val="none"/>
        </w:rPr>
        <w:t>日起6个月；</w:t>
      </w:r>
    </w:p>
    <w:p w14:paraId="2BA30661">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4、质量要求：符合国家、省、市相关规范、规定等技术要求，满足磋商文件及采购人要求。</w:t>
      </w:r>
    </w:p>
    <w:p w14:paraId="6BFF4698">
      <w:pPr>
        <w:pStyle w:val="64"/>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二、具体服务内容 </w:t>
      </w:r>
    </w:p>
    <w:p w14:paraId="73F63C0B">
      <w:pPr>
        <w:pStyle w:val="6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编制鲁山县地质灾害防治“十五五”规划，按照国家及河南省关于地质灾害防治规划的相关政策文件，结合鲁山县地质环境特点、地质灾害分布与发育特征，重点围绕以下方面开展工作。(1)县域内地质灾害现状包括类型、数量、分布，既往防治工作成效、当前存在的问题及未来面临的风险与挑战。(2)设定规划的总体目标。(3)在原有地质灾害调查的基础上，划定地质灾害高:中、低易发区，并进一步确定重点、次重点和一般防治区。(4)规划确定防治任务，包括地质灾害的调查评价、监测预警、综合治理、应急能力建设。(5)明确领导机制和部门职责、防治资金保障、监督检查、宣传和培训等保障规划落实措施。</w:t>
      </w:r>
    </w:p>
    <w:p w14:paraId="78709C00">
      <w:pPr>
        <w:pStyle w:val="64"/>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甲方委托乙方实施并完成鲁山县自然资源局鲁山县地质灾害防治“十五五”规划项目调查任务（包括规划文本、编制说明、规划附表、规划图件、数据库建设等）。</w:t>
      </w:r>
    </w:p>
    <w:p w14:paraId="04AC08C3">
      <w:pPr>
        <w:pStyle w:val="64"/>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三、工作依据</w:t>
      </w:r>
    </w:p>
    <w:p w14:paraId="7E87A721">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（1）《地质灾害防治条例》</w:t>
      </w:r>
    </w:p>
    <w:p w14:paraId="5DB76953">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（2）《国家突发地质灾害应急预案》（国办函〔2022〕111号） </w:t>
      </w:r>
    </w:p>
    <w:p w14:paraId="63B8748E">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（3）《地质灾害调查技术规范》（DZ/T 0261-2020）</w:t>
      </w:r>
    </w:p>
    <w:p w14:paraId="695946EB">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（4）《地质灾害危险性评估规范》（DZ/T 0286-2015）</w:t>
      </w:r>
    </w:p>
    <w:p w14:paraId="26259E0F">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（5）《地质灾害监测预警规范》（DZ/T 0302-2017）</w:t>
      </w:r>
    </w:p>
    <w:p w14:paraId="6E544D7A">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（6）《崩塌、滑坡、泥石流监测规范》（DZ/T 0221-2006）</w:t>
      </w:r>
    </w:p>
    <w:p w14:paraId="2A362EB2">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（7）《河南省地质灾害防治条例》</w:t>
      </w:r>
    </w:p>
    <w:p w14:paraId="6F812060">
      <w:pPr>
        <w:pStyle w:val="64"/>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四、主要工作成果 </w:t>
      </w:r>
    </w:p>
    <w:p w14:paraId="67ACF3B4">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乙方须按照相关文件及技术规程要求提交全部报告、表格、电子图件等成果，并达到验收合格标准。</w:t>
      </w:r>
    </w:p>
    <w:p w14:paraId="3ABF1562">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1、数据库成果</w:t>
      </w:r>
    </w:p>
    <w:p w14:paraId="69B27712">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主要包括鲁山县地质灾害防治“十五五”规划数据库。</w:t>
      </w:r>
    </w:p>
    <w:p w14:paraId="10F5083B">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2、报告成果</w:t>
      </w:r>
    </w:p>
    <w:p w14:paraId="388C559C">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主要包括鲁山县地质灾害防治“十五五”规划成果报告。</w:t>
      </w:r>
    </w:p>
    <w:p w14:paraId="0E8CEDB4">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3、图件成果</w:t>
      </w:r>
    </w:p>
    <w:p w14:paraId="3F678328">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鲁山县地质灾害防治“十五五”规划成果图件。</w:t>
      </w:r>
    </w:p>
    <w:p w14:paraId="11AD1035">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4、电子成果</w:t>
      </w:r>
    </w:p>
    <w:p w14:paraId="29870B23">
      <w:pPr>
        <w:pStyle w:val="64"/>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包括鲁山县地质灾害防治“十五五”规划项目的各种基础资料汇编、中间成果、最终成果数据库、报告、图件等。</w:t>
      </w:r>
    </w:p>
    <w:p w14:paraId="2647F4BD">
      <w:pPr>
        <w:pStyle w:val="64"/>
        <w:spacing w:line="360" w:lineRule="auto"/>
        <w:ind w:firstLine="210"/>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五、服务要求</w:t>
      </w:r>
    </w:p>
    <w:p w14:paraId="640D7159">
      <w:pPr>
        <w:pStyle w:val="6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符合国家、省、市相关规范、规定等技术要求，满足磋商文件及采购人要求。</w:t>
      </w:r>
    </w:p>
    <w:p w14:paraId="457F9040">
      <w:pPr>
        <w:pStyle w:val="67"/>
        <w:shd w:val="clear" w:color="auto" w:fill="auto"/>
        <w:spacing w:before="0" w:line="360" w:lineRule="auto"/>
        <w:ind w:right="340"/>
        <w:jc w:val="both"/>
        <w:rPr>
          <w:b/>
          <w:bCs/>
          <w:color w:val="auto"/>
          <w:sz w:val="30"/>
          <w:szCs w:val="30"/>
          <w:highlight w:val="none"/>
        </w:rPr>
      </w:pPr>
      <w:r>
        <w:rPr>
          <w:b/>
          <w:bCs/>
          <w:color w:val="auto"/>
          <w:sz w:val="30"/>
          <w:szCs w:val="30"/>
          <w:highlight w:val="none"/>
        </w:rPr>
        <w:br w:type="page"/>
      </w:r>
    </w:p>
    <w:p w14:paraId="1C136EC0">
      <w:pPr>
        <w:pStyle w:val="67"/>
        <w:shd w:val="clear" w:color="auto" w:fill="auto"/>
        <w:spacing w:before="0" w:line="360" w:lineRule="auto"/>
        <w:ind w:right="340" w:firstLine="3253" w:firstLineChars="900"/>
        <w:jc w:val="both"/>
        <w:rPr>
          <w:rFonts w:hint="eastAsia"/>
          <w:b/>
          <w:bCs/>
          <w:color w:val="auto"/>
          <w:sz w:val="36"/>
          <w:szCs w:val="36"/>
          <w:highlight w:val="none"/>
        </w:rPr>
      </w:pPr>
      <w:r>
        <w:rPr>
          <w:rFonts w:hint="eastAsia"/>
          <w:b/>
          <w:bCs/>
          <w:color w:val="auto"/>
          <w:sz w:val="36"/>
          <w:szCs w:val="36"/>
          <w:highlight w:val="none"/>
        </w:rPr>
        <w:t>第六章 响应文件格式</w:t>
      </w:r>
    </w:p>
    <w:p w14:paraId="4A92E563">
      <w:pPr>
        <w:spacing w:line="520" w:lineRule="exact"/>
        <w:jc w:val="center"/>
        <w:rPr>
          <w:rFonts w:hint="eastAsia" w:ascii="宋体" w:hAnsi="宋体"/>
          <w:b/>
          <w:bCs/>
          <w:color w:val="auto"/>
          <w:sz w:val="36"/>
          <w:szCs w:val="36"/>
          <w:highlight w:val="none"/>
          <w:u w:val="single"/>
        </w:rPr>
      </w:pPr>
    </w:p>
    <w:p w14:paraId="6629C46E">
      <w:pPr>
        <w:spacing w:line="520" w:lineRule="exact"/>
        <w:jc w:val="center"/>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t xml:space="preserve">                             （项目名称）</w:t>
      </w:r>
    </w:p>
    <w:p w14:paraId="78378A25">
      <w:pPr>
        <w:spacing w:line="520" w:lineRule="exact"/>
        <w:jc w:val="center"/>
        <w:rPr>
          <w:rFonts w:hint="eastAsia" w:ascii="宋体" w:hAnsi="宋体"/>
          <w:color w:val="auto"/>
          <w:sz w:val="36"/>
          <w:szCs w:val="36"/>
          <w:highlight w:val="none"/>
        </w:rPr>
      </w:pPr>
    </w:p>
    <w:p w14:paraId="1C98B9D2">
      <w:pPr>
        <w:spacing w:line="520" w:lineRule="exact"/>
        <w:rPr>
          <w:rFonts w:hint="eastAsia" w:ascii="宋体" w:hAnsi="宋体"/>
          <w:color w:val="auto"/>
          <w:sz w:val="36"/>
          <w:szCs w:val="36"/>
          <w:highlight w:val="none"/>
        </w:rPr>
      </w:pPr>
    </w:p>
    <w:p w14:paraId="5E6C892A">
      <w:pPr>
        <w:spacing w:line="520" w:lineRule="exact"/>
        <w:rPr>
          <w:rFonts w:hint="eastAsia" w:ascii="宋体" w:hAnsi="宋体"/>
          <w:color w:val="auto"/>
          <w:sz w:val="36"/>
          <w:szCs w:val="36"/>
          <w:highlight w:val="none"/>
        </w:rPr>
      </w:pPr>
    </w:p>
    <w:p w14:paraId="34F8F6A9">
      <w:pPr>
        <w:spacing w:line="520" w:lineRule="exact"/>
        <w:rPr>
          <w:rFonts w:hint="eastAsia" w:ascii="宋体" w:hAnsi="宋体"/>
          <w:color w:val="auto"/>
          <w:sz w:val="36"/>
          <w:szCs w:val="36"/>
          <w:highlight w:val="none"/>
        </w:rPr>
      </w:pPr>
    </w:p>
    <w:p w14:paraId="20BE66F9">
      <w:pPr>
        <w:spacing w:line="520" w:lineRule="exact"/>
        <w:rPr>
          <w:rFonts w:hint="eastAsia" w:ascii="宋体" w:hAnsi="宋体"/>
          <w:color w:val="auto"/>
          <w:sz w:val="36"/>
          <w:szCs w:val="36"/>
          <w:highlight w:val="none"/>
        </w:rPr>
      </w:pPr>
    </w:p>
    <w:p w14:paraId="266EF3AF">
      <w:pPr>
        <w:spacing w:line="520" w:lineRule="exact"/>
        <w:jc w:val="center"/>
        <w:rPr>
          <w:rFonts w:hint="eastAsia" w:ascii="宋体" w:hAnsi="宋体"/>
          <w:b/>
          <w:color w:val="auto"/>
          <w:sz w:val="36"/>
          <w:szCs w:val="36"/>
          <w:highlight w:val="none"/>
        </w:rPr>
      </w:pPr>
      <w:r>
        <w:rPr>
          <w:rFonts w:hint="eastAsia" w:ascii="宋体" w:hAnsi="宋体"/>
          <w:b/>
          <w:color w:val="auto"/>
          <w:sz w:val="36"/>
          <w:szCs w:val="36"/>
          <w:highlight w:val="none"/>
        </w:rPr>
        <w:t>响 应 文 件</w:t>
      </w:r>
    </w:p>
    <w:p w14:paraId="0611C419">
      <w:pPr>
        <w:snapToGrid w:val="0"/>
        <w:spacing w:line="520" w:lineRule="exact"/>
        <w:ind w:firstLine="2682" w:firstLineChars="745"/>
        <w:rPr>
          <w:rFonts w:hint="eastAsia" w:ascii="宋体" w:hAnsi="宋体"/>
          <w:color w:val="auto"/>
          <w:sz w:val="36"/>
          <w:szCs w:val="36"/>
          <w:highlight w:val="none"/>
        </w:rPr>
      </w:pPr>
      <w:r>
        <w:rPr>
          <w:rFonts w:hint="eastAsia" w:ascii="宋体" w:hAnsi="宋体"/>
          <w:color w:val="auto"/>
          <w:sz w:val="36"/>
          <w:szCs w:val="36"/>
          <w:highlight w:val="none"/>
        </w:rPr>
        <w:t xml:space="preserve">           </w:t>
      </w:r>
    </w:p>
    <w:p w14:paraId="5B0CF77F">
      <w:pPr>
        <w:snapToGrid w:val="0"/>
        <w:spacing w:line="600" w:lineRule="auto"/>
        <w:ind w:firstLine="1446" w:firstLineChars="400"/>
        <w:rPr>
          <w:rFonts w:hint="eastAsia" w:ascii="宋体" w:hAnsi="宋体"/>
          <w:b/>
          <w:bCs/>
          <w:color w:val="auto"/>
          <w:sz w:val="36"/>
          <w:szCs w:val="36"/>
          <w:highlight w:val="none"/>
        </w:rPr>
      </w:pPr>
      <w:r>
        <w:rPr>
          <w:rFonts w:hint="eastAsia" w:ascii="宋体" w:hAnsi="宋体"/>
          <w:b/>
          <w:bCs/>
          <w:color w:val="auto"/>
          <w:sz w:val="36"/>
          <w:szCs w:val="36"/>
          <w:highlight w:val="none"/>
        </w:rPr>
        <w:t>项目编号：</w:t>
      </w:r>
      <w:r>
        <w:rPr>
          <w:rFonts w:hint="eastAsia" w:ascii="宋体" w:hAnsi="宋体"/>
          <w:b/>
          <w:bCs/>
          <w:color w:val="auto"/>
          <w:sz w:val="36"/>
          <w:szCs w:val="36"/>
          <w:highlight w:val="none"/>
          <w:u w:val="single"/>
        </w:rPr>
        <w:t xml:space="preserve">                        </w:t>
      </w:r>
    </w:p>
    <w:p w14:paraId="4AB72DC7">
      <w:pPr>
        <w:spacing w:line="520" w:lineRule="exact"/>
        <w:rPr>
          <w:rFonts w:hint="eastAsia" w:ascii="宋体" w:hAnsi="宋体"/>
          <w:color w:val="auto"/>
          <w:sz w:val="24"/>
          <w:highlight w:val="none"/>
        </w:rPr>
      </w:pPr>
    </w:p>
    <w:p w14:paraId="652D26E3">
      <w:pPr>
        <w:pStyle w:val="46"/>
        <w:ind w:left="2250" w:hanging="1200"/>
        <w:rPr>
          <w:rFonts w:hint="eastAsia" w:ascii="宋体" w:hAnsi="宋体"/>
          <w:color w:val="auto"/>
          <w:sz w:val="24"/>
          <w:highlight w:val="none"/>
        </w:rPr>
      </w:pPr>
    </w:p>
    <w:p w14:paraId="04456794">
      <w:pPr>
        <w:spacing w:line="520" w:lineRule="exact"/>
        <w:rPr>
          <w:rFonts w:hint="eastAsia" w:ascii="宋体" w:hAnsi="宋体"/>
          <w:color w:val="auto"/>
          <w:sz w:val="24"/>
          <w:highlight w:val="none"/>
        </w:rPr>
      </w:pPr>
    </w:p>
    <w:p w14:paraId="67156EF6">
      <w:pPr>
        <w:spacing w:line="520" w:lineRule="exact"/>
        <w:rPr>
          <w:rFonts w:hint="eastAsia" w:ascii="宋体" w:hAnsi="宋体"/>
          <w:color w:val="auto"/>
          <w:sz w:val="24"/>
          <w:highlight w:val="none"/>
        </w:rPr>
      </w:pPr>
    </w:p>
    <w:p w14:paraId="4532207C">
      <w:pPr>
        <w:pStyle w:val="39"/>
        <w:spacing w:line="520" w:lineRule="exact"/>
        <w:rPr>
          <w:rFonts w:hint="eastAsia" w:ascii="宋体" w:hAnsi="宋体"/>
          <w:color w:val="auto"/>
          <w:sz w:val="24"/>
          <w:highlight w:val="none"/>
        </w:rPr>
      </w:pPr>
    </w:p>
    <w:p w14:paraId="3FC2BBD4">
      <w:pPr>
        <w:spacing w:line="520" w:lineRule="exact"/>
        <w:rPr>
          <w:rFonts w:hint="eastAsia" w:ascii="宋体" w:hAnsi="宋体"/>
          <w:color w:val="auto"/>
          <w:sz w:val="24"/>
          <w:highlight w:val="none"/>
        </w:rPr>
      </w:pPr>
    </w:p>
    <w:p w14:paraId="1A21A2A4">
      <w:pPr>
        <w:spacing w:line="520" w:lineRule="exact"/>
        <w:ind w:firstLine="1448" w:firstLineChars="601"/>
        <w:rPr>
          <w:rFonts w:hint="eastAsia" w:ascii="宋体" w:hAnsi="宋体"/>
          <w:b/>
          <w:color w:val="auto"/>
          <w:sz w:val="24"/>
          <w:highlight w:val="none"/>
        </w:rPr>
      </w:pPr>
      <w:r>
        <w:rPr>
          <w:rFonts w:hint="eastAsia" w:ascii="宋体" w:hAnsi="宋体"/>
          <w:b/>
          <w:color w:val="auto"/>
          <w:sz w:val="24"/>
          <w:highlight w:val="none"/>
        </w:rPr>
        <w:t>供应商：</w:t>
      </w:r>
      <w:r>
        <w:rPr>
          <w:rFonts w:hint="eastAsia" w:ascii="宋体" w:hAnsi="宋体"/>
          <w:b/>
          <w:color w:val="auto"/>
          <w:sz w:val="24"/>
          <w:highlight w:val="none"/>
          <w:u w:val="single"/>
        </w:rPr>
        <w:t xml:space="preserve">                      </w:t>
      </w:r>
      <w:r>
        <w:rPr>
          <w:rFonts w:hint="eastAsia" w:ascii="宋体" w:hAnsi="宋体"/>
          <w:b/>
          <w:color w:val="auto"/>
          <w:sz w:val="24"/>
          <w:highlight w:val="none"/>
        </w:rPr>
        <w:t>（电子签章）</w:t>
      </w:r>
    </w:p>
    <w:p w14:paraId="48C9C391">
      <w:pPr>
        <w:spacing w:line="520" w:lineRule="exact"/>
        <w:ind w:firstLine="1448" w:firstLineChars="601"/>
        <w:rPr>
          <w:rFonts w:hint="eastAsia" w:ascii="宋体" w:hAnsi="宋体"/>
          <w:b/>
          <w:color w:val="auto"/>
          <w:sz w:val="24"/>
          <w:highlight w:val="none"/>
        </w:rPr>
      </w:pPr>
      <w:r>
        <w:rPr>
          <w:rFonts w:hint="eastAsia" w:ascii="宋体" w:hAnsi="宋体"/>
          <w:b/>
          <w:color w:val="auto"/>
          <w:sz w:val="24"/>
          <w:highlight w:val="none"/>
        </w:rPr>
        <w:t>法定代表人或其委托代理人：</w:t>
      </w:r>
      <w:r>
        <w:rPr>
          <w:rFonts w:hint="eastAsia" w:ascii="宋体" w:hAnsi="宋体"/>
          <w:b/>
          <w:color w:val="auto"/>
          <w:sz w:val="24"/>
          <w:highlight w:val="none"/>
          <w:u w:val="single"/>
        </w:rPr>
        <w:t xml:space="preserve">       </w:t>
      </w:r>
      <w:r>
        <w:rPr>
          <w:rFonts w:hint="eastAsia" w:ascii="宋体" w:hAnsi="宋体"/>
          <w:b/>
          <w:color w:val="auto"/>
          <w:sz w:val="24"/>
          <w:highlight w:val="none"/>
        </w:rPr>
        <w:t>（电子签章）</w:t>
      </w:r>
    </w:p>
    <w:p w14:paraId="0EA00E88">
      <w:pPr>
        <w:spacing w:line="520" w:lineRule="exact"/>
        <w:ind w:firstLine="728" w:firstLineChars="302"/>
        <w:jc w:val="center"/>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      </w:t>
      </w:r>
      <w:r>
        <w:rPr>
          <w:rFonts w:hint="eastAsia" w:ascii="宋体" w:hAnsi="宋体"/>
          <w:b/>
          <w:color w:val="auto"/>
          <w:sz w:val="24"/>
          <w:highlight w:val="none"/>
        </w:rPr>
        <w:t>年</w:t>
      </w:r>
      <w:r>
        <w:rPr>
          <w:rFonts w:hint="eastAsia" w:ascii="宋体" w:hAnsi="宋体"/>
          <w:b/>
          <w:color w:val="auto"/>
          <w:sz w:val="24"/>
          <w:highlight w:val="none"/>
          <w:u w:val="single"/>
        </w:rPr>
        <w:t xml:space="preserve">      </w:t>
      </w:r>
      <w:r>
        <w:rPr>
          <w:rFonts w:hint="eastAsia" w:ascii="宋体" w:hAnsi="宋体"/>
          <w:b/>
          <w:color w:val="auto"/>
          <w:sz w:val="24"/>
          <w:highlight w:val="none"/>
        </w:rPr>
        <w:t>月</w:t>
      </w:r>
      <w:r>
        <w:rPr>
          <w:rFonts w:hint="eastAsia" w:ascii="宋体" w:hAnsi="宋体"/>
          <w:b/>
          <w:color w:val="auto"/>
          <w:sz w:val="24"/>
          <w:highlight w:val="none"/>
          <w:u w:val="single"/>
        </w:rPr>
        <w:t xml:space="preserve">      </w:t>
      </w:r>
      <w:r>
        <w:rPr>
          <w:rFonts w:hint="eastAsia" w:ascii="宋体" w:hAnsi="宋体"/>
          <w:b/>
          <w:color w:val="auto"/>
          <w:sz w:val="24"/>
          <w:highlight w:val="none"/>
        </w:rPr>
        <w:t>日</w:t>
      </w:r>
    </w:p>
    <w:p w14:paraId="691EA782">
      <w:pPr>
        <w:pStyle w:val="21"/>
        <w:spacing w:line="520" w:lineRule="exact"/>
        <w:jc w:val="center"/>
        <w:rPr>
          <w:rFonts w:hint="eastAsia" w:ascii="宋体" w:hAnsi="宋体"/>
          <w:color w:val="auto"/>
          <w:sz w:val="24"/>
          <w:highlight w:val="none"/>
        </w:rPr>
      </w:pPr>
      <w:bookmarkStart w:id="298" w:name="_Toc152045787"/>
      <w:bookmarkStart w:id="299" w:name="_Toc152042576"/>
      <w:bookmarkStart w:id="300" w:name="_Toc246996355"/>
      <w:bookmarkStart w:id="301" w:name="_Toc144974856"/>
      <w:bookmarkStart w:id="302" w:name="_Toc247085873"/>
      <w:bookmarkStart w:id="303" w:name="_Toc246997098"/>
      <w:bookmarkStart w:id="304" w:name="_Toc179632807"/>
      <w:r>
        <w:rPr>
          <w:rFonts w:hint="eastAsia" w:ascii="宋体" w:hAnsi="宋体"/>
          <w:color w:val="auto"/>
          <w:sz w:val="24"/>
          <w:highlight w:val="none"/>
        </w:rPr>
        <w:br w:type="page"/>
      </w:r>
      <w:bookmarkEnd w:id="298"/>
      <w:bookmarkEnd w:id="299"/>
      <w:bookmarkEnd w:id="300"/>
      <w:bookmarkEnd w:id="301"/>
      <w:bookmarkEnd w:id="302"/>
      <w:bookmarkEnd w:id="303"/>
      <w:bookmarkEnd w:id="304"/>
      <w:bookmarkStart w:id="305" w:name="_Toc19099"/>
      <w:bookmarkStart w:id="306" w:name="_Toc25211"/>
      <w:r>
        <w:rPr>
          <w:rFonts w:hint="eastAsia" w:ascii="宋体" w:hAnsi="宋体" w:eastAsia="宋体"/>
          <w:color w:val="auto"/>
          <w:sz w:val="24"/>
          <w:szCs w:val="24"/>
          <w:highlight w:val="none"/>
        </w:rPr>
        <w:t>一、</w:t>
      </w:r>
      <w:bookmarkEnd w:id="305"/>
      <w:bookmarkEnd w:id="306"/>
      <w:r>
        <w:rPr>
          <w:rFonts w:hint="eastAsia" w:ascii="宋体" w:hAnsi="宋体" w:eastAsia="宋体"/>
          <w:color w:val="auto"/>
          <w:sz w:val="24"/>
          <w:szCs w:val="24"/>
          <w:highlight w:val="none"/>
          <w:lang w:val="zh-CN"/>
        </w:rPr>
        <w:t>磋商函</w:t>
      </w:r>
    </w:p>
    <w:p w14:paraId="2E71CE8E">
      <w:pPr>
        <w:spacing w:line="520" w:lineRule="exact"/>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（采购人名称）   </w:t>
      </w:r>
      <w:r>
        <w:rPr>
          <w:rFonts w:hint="eastAsia" w:ascii="宋体" w:hAnsi="宋体"/>
          <w:color w:val="auto"/>
          <w:sz w:val="24"/>
          <w:highlight w:val="none"/>
        </w:rPr>
        <w:t xml:space="preserve">                  </w:t>
      </w:r>
    </w:p>
    <w:p w14:paraId="2537D21A">
      <w:pPr>
        <w:widowControl/>
        <w:spacing w:line="5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根据贵方</w:t>
      </w:r>
      <w:r>
        <w:rPr>
          <w:rFonts w:hint="eastAsia" w:ascii="宋体" w:hAnsi="宋体"/>
          <w:color w:val="auto"/>
          <w:sz w:val="24"/>
          <w:highlight w:val="none"/>
          <w:u w:val="single"/>
        </w:rPr>
        <w:t xml:space="preserve">                    </w:t>
      </w:r>
      <w:r>
        <w:rPr>
          <w:rFonts w:hint="eastAsia" w:ascii="宋体" w:hAnsi="宋体"/>
          <w:color w:val="auto"/>
          <w:sz w:val="24"/>
          <w:highlight w:val="none"/>
        </w:rPr>
        <w:t>（项目名称）的竞争性磋商文件，我方针对该项目的磋商报价（首轮）为小写：</w:t>
      </w:r>
      <w:r>
        <w:rPr>
          <w:rFonts w:hint="eastAsia" w:ascii="宋体" w:hAnsi="宋体"/>
          <w:color w:val="auto"/>
          <w:sz w:val="24"/>
          <w:highlight w:val="none"/>
          <w:u w:val="single"/>
        </w:rPr>
        <w:t xml:space="preserve">       </w:t>
      </w:r>
      <w:r>
        <w:rPr>
          <w:rFonts w:hint="eastAsia" w:ascii="宋体" w:hAnsi="宋体"/>
          <w:color w:val="auto"/>
          <w:sz w:val="24"/>
          <w:highlight w:val="none"/>
        </w:rPr>
        <w:t>元（大写：</w:t>
      </w:r>
      <w:r>
        <w:rPr>
          <w:rFonts w:hint="eastAsia" w:ascii="宋体" w:hAnsi="宋体"/>
          <w:color w:val="auto"/>
          <w:sz w:val="24"/>
          <w:highlight w:val="none"/>
          <w:u w:val="single"/>
        </w:rPr>
        <w:t xml:space="preserve">         </w:t>
      </w:r>
      <w:r>
        <w:rPr>
          <w:rFonts w:hint="eastAsia" w:ascii="宋体" w:hAnsi="宋体"/>
          <w:color w:val="auto"/>
          <w:sz w:val="24"/>
          <w:highlight w:val="none"/>
        </w:rPr>
        <w:t>），服务期限：</w:t>
      </w:r>
      <w:r>
        <w:rPr>
          <w:rFonts w:hint="eastAsia" w:ascii="宋体" w:hAnsi="宋体"/>
          <w:color w:val="auto"/>
          <w:sz w:val="24"/>
          <w:highlight w:val="none"/>
          <w:u w:val="single"/>
        </w:rPr>
        <w:t xml:space="preserve">           </w:t>
      </w:r>
      <w:r>
        <w:rPr>
          <w:rFonts w:hint="eastAsia" w:ascii="宋体" w:hAnsi="宋体"/>
          <w:color w:val="auto"/>
          <w:sz w:val="24"/>
          <w:highlight w:val="none"/>
          <w:shd w:val="clear" w:color="auto" w:fill="FFFFFF"/>
          <w:lang w:bidi="ar"/>
        </w:rPr>
        <w:t>，</w:t>
      </w:r>
      <w:r>
        <w:rPr>
          <w:rFonts w:hint="eastAsia" w:ascii="宋体" w:hAnsi="宋体"/>
          <w:color w:val="auto"/>
          <w:sz w:val="24"/>
          <w:highlight w:val="none"/>
        </w:rPr>
        <w:t>服务要求</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2AA9219">
      <w:pPr>
        <w:spacing w:line="520" w:lineRule="exact"/>
        <w:ind w:firstLine="420"/>
        <w:rPr>
          <w:rFonts w:hint="eastAsia" w:ascii="宋体" w:hAnsi="宋体"/>
          <w:color w:val="auto"/>
          <w:sz w:val="24"/>
          <w:highlight w:val="none"/>
        </w:rPr>
      </w:pPr>
      <w:r>
        <w:rPr>
          <w:rFonts w:hint="eastAsia" w:ascii="宋体" w:hAnsi="宋体"/>
          <w:color w:val="auto"/>
          <w:sz w:val="24"/>
          <w:highlight w:val="none"/>
        </w:rPr>
        <w:t>1．我方承诺在磋商有效期内不修改、撤销响应文件。</w:t>
      </w:r>
    </w:p>
    <w:p w14:paraId="0D35134B">
      <w:pPr>
        <w:spacing w:line="520" w:lineRule="exact"/>
        <w:ind w:firstLine="420"/>
        <w:rPr>
          <w:rFonts w:hint="eastAsia" w:ascii="宋体" w:hAnsi="宋体"/>
          <w:color w:val="auto"/>
          <w:sz w:val="24"/>
          <w:highlight w:val="none"/>
        </w:rPr>
      </w:pPr>
      <w:r>
        <w:rPr>
          <w:rFonts w:hint="eastAsia" w:ascii="宋体" w:hAnsi="宋体"/>
          <w:color w:val="auto"/>
          <w:sz w:val="24"/>
          <w:highlight w:val="none"/>
        </w:rPr>
        <w:t>2．如我方中标：</w:t>
      </w:r>
    </w:p>
    <w:p w14:paraId="1DD3C81B">
      <w:pPr>
        <w:spacing w:line="520" w:lineRule="exact"/>
        <w:ind w:firstLine="718"/>
        <w:rPr>
          <w:rFonts w:hint="eastAsia" w:ascii="宋体" w:hAnsi="宋体"/>
          <w:color w:val="auto"/>
          <w:sz w:val="24"/>
          <w:highlight w:val="none"/>
        </w:rPr>
      </w:pPr>
      <w:r>
        <w:rPr>
          <w:rFonts w:hint="eastAsia" w:ascii="宋体" w:hAnsi="宋体"/>
          <w:color w:val="auto"/>
          <w:sz w:val="24"/>
          <w:highlight w:val="none"/>
        </w:rPr>
        <w:t>（1）我方承诺在收到成交通知书后，在成交通知书规定的期限内与你方签订合同。</w:t>
      </w:r>
    </w:p>
    <w:p w14:paraId="23CBF1F6">
      <w:pPr>
        <w:spacing w:line="520" w:lineRule="exact"/>
        <w:ind w:firstLine="718"/>
        <w:rPr>
          <w:rFonts w:hint="eastAsia" w:ascii="宋体" w:hAnsi="宋体"/>
          <w:color w:val="auto"/>
          <w:sz w:val="24"/>
          <w:highlight w:val="none"/>
        </w:rPr>
      </w:pPr>
      <w:r>
        <w:rPr>
          <w:rFonts w:hint="eastAsia" w:ascii="宋体" w:hAnsi="宋体"/>
          <w:color w:val="auto"/>
          <w:sz w:val="24"/>
          <w:highlight w:val="none"/>
        </w:rPr>
        <w:t>（2）随同本报价函递交的报价一览表属于合同文件的组成部分。</w:t>
      </w:r>
    </w:p>
    <w:p w14:paraId="4793123F">
      <w:pPr>
        <w:spacing w:line="520" w:lineRule="exact"/>
        <w:ind w:firstLine="718"/>
        <w:rPr>
          <w:rFonts w:hint="eastAsia" w:ascii="宋体" w:hAnsi="宋体"/>
          <w:color w:val="auto"/>
          <w:sz w:val="24"/>
          <w:highlight w:val="none"/>
        </w:rPr>
      </w:pPr>
      <w:r>
        <w:rPr>
          <w:rFonts w:hint="eastAsia" w:ascii="宋体" w:hAnsi="宋体"/>
          <w:color w:val="auto"/>
          <w:sz w:val="24"/>
          <w:highlight w:val="none"/>
        </w:rPr>
        <w:t>（3）我方承诺在合同约定的期限内完成合同规定的全部义务。</w:t>
      </w:r>
    </w:p>
    <w:p w14:paraId="79D124B1">
      <w:pPr>
        <w:spacing w:line="520" w:lineRule="exact"/>
        <w:ind w:firstLine="420"/>
        <w:rPr>
          <w:rFonts w:hint="eastAsia" w:ascii="宋体" w:hAnsi="宋体"/>
          <w:color w:val="auto"/>
          <w:sz w:val="24"/>
          <w:highlight w:val="none"/>
        </w:rPr>
      </w:pPr>
      <w:r>
        <w:rPr>
          <w:rFonts w:hint="eastAsia" w:ascii="宋体" w:hAnsi="宋体"/>
          <w:color w:val="auto"/>
          <w:sz w:val="24"/>
          <w:highlight w:val="none"/>
        </w:rPr>
        <w:t>3．我方在此声明，所递交的响应文件及有关资料内容完整、真实和准确。</w:t>
      </w:r>
    </w:p>
    <w:p w14:paraId="3E88AAA7">
      <w:pPr>
        <w:spacing w:line="520" w:lineRule="exact"/>
        <w:ind w:firstLine="420"/>
        <w:rPr>
          <w:rFonts w:hint="eastAsia" w:ascii="宋体" w:hAnsi="宋体"/>
          <w:color w:val="auto"/>
          <w:sz w:val="24"/>
          <w:highlight w:val="none"/>
        </w:rPr>
      </w:pPr>
      <w:r>
        <w:rPr>
          <w:rFonts w:hint="eastAsia" w:ascii="宋体" w:hAnsi="宋体"/>
          <w:color w:val="auto"/>
          <w:sz w:val="24"/>
          <w:highlight w:val="none"/>
        </w:rPr>
        <w:t>4．其他补充说明：</w:t>
      </w:r>
      <w:r>
        <w:rPr>
          <w:rFonts w:hint="eastAsia" w:ascii="宋体" w:hAnsi="宋体"/>
          <w:color w:val="auto"/>
          <w:sz w:val="24"/>
          <w:highlight w:val="none"/>
          <w:u w:val="single"/>
        </w:rPr>
        <w:t xml:space="preserve">                                          </w:t>
      </w:r>
    </w:p>
    <w:p w14:paraId="7B9A7975">
      <w:pPr>
        <w:spacing w:line="520" w:lineRule="exact"/>
        <w:rPr>
          <w:rFonts w:hint="eastAsia" w:ascii="宋体" w:hAnsi="宋体"/>
          <w:color w:val="auto"/>
          <w:sz w:val="24"/>
          <w:highlight w:val="none"/>
        </w:rPr>
      </w:pPr>
    </w:p>
    <w:p w14:paraId="64EB28C3">
      <w:pPr>
        <w:spacing w:line="520" w:lineRule="exact"/>
        <w:ind w:firstLine="3675"/>
        <w:rPr>
          <w:rFonts w:hint="eastAsia" w:ascii="宋体" w:hAnsi="宋体"/>
          <w:color w:val="auto"/>
          <w:sz w:val="24"/>
          <w:highlight w:val="none"/>
        </w:rPr>
      </w:pPr>
    </w:p>
    <w:p w14:paraId="5D4AAF74">
      <w:pPr>
        <w:spacing w:line="520" w:lineRule="exact"/>
        <w:jc w:val="right"/>
        <w:rPr>
          <w:rFonts w:hint="eastAsia" w:ascii="宋体" w:hAnsi="宋体"/>
          <w:color w:val="auto"/>
          <w:sz w:val="24"/>
          <w:highlight w:val="none"/>
        </w:rPr>
      </w:pPr>
      <w:r>
        <w:rPr>
          <w:rFonts w:hint="eastAsia" w:ascii="宋体" w:hAnsi="宋体"/>
          <w:color w:val="auto"/>
          <w:sz w:val="24"/>
          <w:highlight w:val="none"/>
        </w:rPr>
        <w:t>供应商：</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3C7FF872">
      <w:pPr>
        <w:spacing w:line="520" w:lineRule="exact"/>
        <w:rPr>
          <w:rFonts w:hint="eastAsia" w:ascii="宋体" w:hAnsi="宋体"/>
          <w:color w:val="auto"/>
          <w:sz w:val="24"/>
          <w:highlight w:val="none"/>
        </w:rPr>
      </w:pPr>
    </w:p>
    <w:p w14:paraId="4671A3ED">
      <w:pPr>
        <w:spacing w:line="520" w:lineRule="exact"/>
        <w:ind w:firstLine="4680" w:firstLineChars="1950"/>
        <w:rPr>
          <w:rFonts w:hint="eastAsia" w:ascii="宋体" w:hAnsi="宋体"/>
          <w:color w:val="auto"/>
          <w:sz w:val="24"/>
          <w:highlight w:val="none"/>
          <w:u w:val="single"/>
        </w:rPr>
      </w:pPr>
    </w:p>
    <w:p w14:paraId="7E1301E5">
      <w:pPr>
        <w:spacing w:line="520" w:lineRule="exact"/>
        <w:jc w:val="right"/>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24D4EC0C">
      <w:pPr>
        <w:spacing w:line="520" w:lineRule="exact"/>
        <w:rPr>
          <w:rFonts w:hint="eastAsia" w:ascii="宋体" w:hAnsi="宋体"/>
          <w:color w:val="auto"/>
          <w:sz w:val="24"/>
          <w:highlight w:val="none"/>
        </w:rPr>
      </w:pPr>
    </w:p>
    <w:p w14:paraId="07EAB058">
      <w:pPr>
        <w:autoSpaceDE w:val="0"/>
        <w:autoSpaceDN w:val="0"/>
        <w:spacing w:line="520" w:lineRule="exact"/>
        <w:ind w:firstLine="560"/>
        <w:jc w:val="center"/>
        <w:rPr>
          <w:rFonts w:hint="eastAsia" w:ascii="宋体" w:hAnsi="宋体"/>
          <w:color w:val="auto"/>
          <w:sz w:val="24"/>
          <w:highlight w:val="none"/>
        </w:rPr>
      </w:pPr>
      <w:bookmarkStart w:id="307" w:name="_Toc354489480"/>
      <w:bookmarkStart w:id="308" w:name="_Toc198518873"/>
      <w:bookmarkStart w:id="309" w:name="_Toc3134"/>
      <w:bookmarkStart w:id="310" w:name="_Toc356744048"/>
      <w:bookmarkStart w:id="311" w:name="_Toc494031780"/>
      <w:r>
        <w:rPr>
          <w:rFonts w:hint="eastAsia" w:ascii="宋体" w:hAnsi="宋体"/>
          <w:color w:val="auto"/>
          <w:sz w:val="24"/>
          <w:highlight w:val="none"/>
        </w:rPr>
        <w:br w:type="page"/>
      </w:r>
      <w:bookmarkEnd w:id="307"/>
      <w:bookmarkEnd w:id="308"/>
      <w:bookmarkEnd w:id="309"/>
      <w:bookmarkEnd w:id="310"/>
      <w:bookmarkEnd w:id="311"/>
      <w:r>
        <w:rPr>
          <w:rFonts w:hint="eastAsia" w:ascii="宋体" w:hAnsi="宋体"/>
          <w:b/>
          <w:bCs/>
          <w:color w:val="auto"/>
          <w:sz w:val="24"/>
          <w:highlight w:val="none"/>
        </w:rPr>
        <w:t>二、</w:t>
      </w:r>
      <w:r>
        <w:rPr>
          <w:rFonts w:hint="eastAsia" w:ascii="宋体" w:hAnsi="宋体"/>
          <w:b/>
          <w:bCs/>
          <w:color w:val="auto"/>
          <w:sz w:val="24"/>
          <w:highlight w:val="none"/>
          <w:lang w:val="zh-CN"/>
        </w:rPr>
        <w:t>报价一览表</w:t>
      </w:r>
    </w:p>
    <w:tbl>
      <w:tblPr>
        <w:tblStyle w:val="8"/>
        <w:tblpPr w:leftFromText="180" w:rightFromText="180" w:vertAnchor="text" w:horzAnchor="page" w:tblpX="1707" w:tblpY="4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840"/>
      </w:tblGrid>
      <w:tr w14:paraId="4213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60" w:type="dxa"/>
            <w:vAlign w:val="center"/>
          </w:tcPr>
          <w:p w14:paraId="3D66104F">
            <w:pPr>
              <w:spacing w:line="520" w:lineRule="exact"/>
              <w:jc w:val="center"/>
              <w:rPr>
                <w:rFonts w:ascii="宋体" w:hAnsi="宋体" w:eastAsia="宋体"/>
                <w:color w:val="auto"/>
                <w:sz w:val="24"/>
                <w:highlight w:val="none"/>
              </w:rPr>
            </w:pPr>
            <w:r>
              <w:rPr>
                <w:rFonts w:ascii="宋体" w:hAnsi="宋体" w:eastAsia="宋体"/>
                <w:color w:val="auto"/>
                <w:sz w:val="24"/>
                <w:highlight w:val="none"/>
              </w:rPr>
              <w:t>项目名称</w:t>
            </w:r>
          </w:p>
        </w:tc>
        <w:tc>
          <w:tcPr>
            <w:tcW w:w="6840" w:type="dxa"/>
            <w:vAlign w:val="center"/>
          </w:tcPr>
          <w:p w14:paraId="6BF8FB3D">
            <w:pPr>
              <w:spacing w:line="520" w:lineRule="exact"/>
              <w:jc w:val="center"/>
              <w:rPr>
                <w:rFonts w:ascii="宋体" w:hAnsi="宋体" w:eastAsia="宋体"/>
                <w:color w:val="auto"/>
                <w:sz w:val="24"/>
                <w:highlight w:val="none"/>
              </w:rPr>
            </w:pPr>
          </w:p>
        </w:tc>
      </w:tr>
      <w:tr w14:paraId="4F8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2160" w:type="dxa"/>
            <w:vAlign w:val="center"/>
          </w:tcPr>
          <w:p w14:paraId="3FFC7FAB">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供应商名称</w:t>
            </w:r>
          </w:p>
        </w:tc>
        <w:tc>
          <w:tcPr>
            <w:tcW w:w="6840" w:type="dxa"/>
            <w:vAlign w:val="center"/>
          </w:tcPr>
          <w:p w14:paraId="400DD4C9">
            <w:pPr>
              <w:spacing w:line="520" w:lineRule="exact"/>
              <w:jc w:val="center"/>
              <w:rPr>
                <w:rFonts w:ascii="宋体" w:hAnsi="宋体" w:eastAsia="宋体"/>
                <w:color w:val="auto"/>
                <w:sz w:val="24"/>
                <w:highlight w:val="none"/>
              </w:rPr>
            </w:pPr>
          </w:p>
        </w:tc>
      </w:tr>
      <w:tr w14:paraId="75A2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2160" w:type="dxa"/>
            <w:vAlign w:val="center"/>
          </w:tcPr>
          <w:p w14:paraId="3A64168C">
            <w:pPr>
              <w:spacing w:line="520" w:lineRule="exact"/>
              <w:jc w:val="center"/>
              <w:rPr>
                <w:rFonts w:ascii="宋体" w:hAnsi="宋体" w:eastAsia="宋体"/>
                <w:color w:val="auto"/>
                <w:sz w:val="24"/>
                <w:highlight w:val="none"/>
              </w:rPr>
            </w:pPr>
            <w:r>
              <w:rPr>
                <w:rFonts w:ascii="宋体" w:hAnsi="宋体" w:eastAsia="宋体"/>
                <w:color w:val="auto"/>
                <w:sz w:val="24"/>
                <w:highlight w:val="none"/>
              </w:rPr>
              <w:t>磋商报价（首轮）</w:t>
            </w:r>
          </w:p>
        </w:tc>
        <w:tc>
          <w:tcPr>
            <w:tcW w:w="6840" w:type="dxa"/>
            <w:vAlign w:val="center"/>
          </w:tcPr>
          <w:p w14:paraId="15D1F018">
            <w:pPr>
              <w:spacing w:line="520" w:lineRule="exact"/>
              <w:ind w:firstLine="1228" w:firstLineChars="512"/>
              <w:rPr>
                <w:rFonts w:ascii="宋体" w:hAnsi="宋体" w:eastAsia="宋体"/>
                <w:color w:val="auto"/>
                <w:sz w:val="24"/>
                <w:highlight w:val="none"/>
              </w:rPr>
            </w:pPr>
          </w:p>
          <w:p w14:paraId="451C9E4F">
            <w:pPr>
              <w:spacing w:line="520" w:lineRule="exact"/>
              <w:ind w:firstLine="1228" w:firstLineChars="512"/>
              <w:rPr>
                <w:rFonts w:ascii="宋体" w:hAnsi="宋体" w:eastAsia="宋体"/>
                <w:color w:val="auto"/>
                <w:sz w:val="24"/>
                <w:highlight w:val="none"/>
              </w:rPr>
            </w:pPr>
            <w:r>
              <w:rPr>
                <w:rFonts w:ascii="宋体" w:hAnsi="宋体" w:eastAsia="宋体"/>
                <w:color w:val="auto"/>
                <w:sz w:val="24"/>
                <w:highlight w:val="none"/>
              </w:rPr>
              <w:t xml:space="preserve">大写:              </w:t>
            </w:r>
          </w:p>
          <w:p w14:paraId="640546B2">
            <w:pPr>
              <w:spacing w:line="520" w:lineRule="exact"/>
              <w:ind w:firstLine="1200" w:firstLineChars="500"/>
              <w:rPr>
                <w:rFonts w:ascii="宋体" w:hAnsi="宋体" w:eastAsia="宋体"/>
                <w:color w:val="auto"/>
                <w:sz w:val="24"/>
                <w:highlight w:val="none"/>
              </w:rPr>
            </w:pPr>
            <w:r>
              <w:rPr>
                <w:rFonts w:ascii="宋体" w:hAnsi="宋体" w:eastAsia="宋体"/>
                <w:color w:val="auto"/>
                <w:sz w:val="24"/>
                <w:highlight w:val="none"/>
              </w:rPr>
              <w:t>小写:</w:t>
            </w:r>
          </w:p>
          <w:p w14:paraId="77667E05">
            <w:pPr>
              <w:spacing w:line="520" w:lineRule="exact"/>
              <w:ind w:firstLine="1228" w:firstLineChars="512"/>
              <w:rPr>
                <w:rFonts w:ascii="宋体" w:hAnsi="宋体" w:eastAsia="宋体"/>
                <w:color w:val="auto"/>
                <w:sz w:val="24"/>
                <w:highlight w:val="none"/>
                <w:u w:val="single"/>
              </w:rPr>
            </w:pPr>
          </w:p>
        </w:tc>
      </w:tr>
      <w:tr w14:paraId="0FD10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2160" w:type="dxa"/>
            <w:vAlign w:val="center"/>
          </w:tcPr>
          <w:p w14:paraId="26BD3125">
            <w:pPr>
              <w:spacing w:line="520" w:lineRule="exact"/>
              <w:jc w:val="center"/>
              <w:rPr>
                <w:rFonts w:ascii="宋体" w:hAnsi="宋体" w:eastAsia="宋体"/>
                <w:color w:val="auto"/>
                <w:sz w:val="24"/>
                <w:highlight w:val="none"/>
              </w:rPr>
            </w:pPr>
            <w:r>
              <w:rPr>
                <w:rFonts w:ascii="宋体" w:hAnsi="宋体" w:eastAsia="宋体"/>
                <w:color w:val="auto"/>
                <w:sz w:val="24"/>
                <w:highlight w:val="none"/>
              </w:rPr>
              <w:t>服务期限</w:t>
            </w:r>
          </w:p>
        </w:tc>
        <w:tc>
          <w:tcPr>
            <w:tcW w:w="6840" w:type="dxa"/>
            <w:vAlign w:val="center"/>
          </w:tcPr>
          <w:p w14:paraId="666989EE">
            <w:pPr>
              <w:spacing w:line="520" w:lineRule="exact"/>
              <w:rPr>
                <w:rFonts w:ascii="宋体" w:hAnsi="宋体" w:eastAsia="宋体"/>
                <w:color w:val="auto"/>
                <w:sz w:val="24"/>
                <w:highlight w:val="none"/>
              </w:rPr>
            </w:pPr>
          </w:p>
        </w:tc>
      </w:tr>
      <w:tr w14:paraId="6B42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60" w:type="dxa"/>
            <w:vAlign w:val="center"/>
          </w:tcPr>
          <w:p w14:paraId="1D13374A">
            <w:pPr>
              <w:spacing w:line="520" w:lineRule="exact"/>
              <w:jc w:val="center"/>
              <w:rPr>
                <w:rFonts w:ascii="宋体" w:hAnsi="宋体" w:eastAsia="宋体"/>
                <w:color w:val="auto"/>
                <w:sz w:val="24"/>
                <w:highlight w:val="none"/>
              </w:rPr>
            </w:pPr>
            <w:r>
              <w:rPr>
                <w:rFonts w:ascii="宋体" w:hAnsi="宋体" w:eastAsia="宋体"/>
                <w:color w:val="auto"/>
                <w:sz w:val="24"/>
                <w:highlight w:val="none"/>
              </w:rPr>
              <w:t>服务要求</w:t>
            </w:r>
          </w:p>
        </w:tc>
        <w:tc>
          <w:tcPr>
            <w:tcW w:w="6840" w:type="dxa"/>
            <w:vAlign w:val="center"/>
          </w:tcPr>
          <w:p w14:paraId="4BDD55F2">
            <w:pPr>
              <w:spacing w:line="520" w:lineRule="exact"/>
              <w:rPr>
                <w:rFonts w:ascii="宋体" w:hAnsi="宋体" w:eastAsia="宋体"/>
                <w:color w:val="auto"/>
                <w:sz w:val="24"/>
                <w:highlight w:val="none"/>
                <w:u w:val="single"/>
              </w:rPr>
            </w:pPr>
          </w:p>
        </w:tc>
      </w:tr>
      <w:tr w14:paraId="1A1B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60" w:type="dxa"/>
            <w:vAlign w:val="center"/>
          </w:tcPr>
          <w:p w14:paraId="6A752485">
            <w:pPr>
              <w:spacing w:line="520" w:lineRule="exact"/>
              <w:jc w:val="center"/>
              <w:rPr>
                <w:rFonts w:ascii="宋体" w:hAnsi="宋体" w:eastAsia="宋体"/>
                <w:color w:val="auto"/>
                <w:sz w:val="24"/>
                <w:highlight w:val="none"/>
              </w:rPr>
            </w:pPr>
            <w:r>
              <w:rPr>
                <w:rFonts w:ascii="宋体" w:hAnsi="宋体" w:eastAsia="宋体"/>
                <w:color w:val="auto"/>
                <w:sz w:val="24"/>
                <w:highlight w:val="none"/>
              </w:rPr>
              <w:t>磋商有效期</w:t>
            </w:r>
          </w:p>
        </w:tc>
        <w:tc>
          <w:tcPr>
            <w:tcW w:w="6840" w:type="dxa"/>
            <w:vAlign w:val="center"/>
          </w:tcPr>
          <w:p w14:paraId="6EBA1274">
            <w:pPr>
              <w:spacing w:line="520" w:lineRule="exact"/>
              <w:ind w:firstLine="240" w:firstLineChars="100"/>
              <w:rPr>
                <w:rFonts w:ascii="宋体" w:hAnsi="宋体" w:eastAsia="宋体"/>
                <w:color w:val="auto"/>
                <w:sz w:val="24"/>
                <w:highlight w:val="none"/>
                <w:u w:val="single"/>
              </w:rPr>
            </w:pPr>
          </w:p>
        </w:tc>
      </w:tr>
      <w:tr w14:paraId="0D78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60" w:type="dxa"/>
            <w:vAlign w:val="center"/>
          </w:tcPr>
          <w:p w14:paraId="2301B822">
            <w:pPr>
              <w:spacing w:line="520" w:lineRule="exact"/>
              <w:jc w:val="center"/>
              <w:rPr>
                <w:rFonts w:ascii="宋体" w:hAnsi="宋体" w:eastAsia="宋体"/>
                <w:color w:val="auto"/>
                <w:sz w:val="24"/>
                <w:highlight w:val="none"/>
              </w:rPr>
            </w:pPr>
            <w:r>
              <w:rPr>
                <w:rFonts w:ascii="宋体" w:hAnsi="宋体" w:eastAsia="宋体"/>
                <w:color w:val="auto"/>
                <w:sz w:val="24"/>
                <w:highlight w:val="none"/>
              </w:rPr>
              <w:t>项目负责人</w:t>
            </w:r>
          </w:p>
        </w:tc>
        <w:tc>
          <w:tcPr>
            <w:tcW w:w="6840" w:type="dxa"/>
            <w:vAlign w:val="center"/>
          </w:tcPr>
          <w:p w14:paraId="68DB1FF5">
            <w:pPr>
              <w:spacing w:line="520" w:lineRule="exact"/>
              <w:ind w:firstLine="240" w:firstLineChars="100"/>
              <w:rPr>
                <w:rFonts w:ascii="宋体" w:hAnsi="宋体" w:eastAsia="宋体"/>
                <w:color w:val="auto"/>
                <w:sz w:val="24"/>
                <w:highlight w:val="none"/>
              </w:rPr>
            </w:pPr>
            <w:r>
              <w:rPr>
                <w:rFonts w:ascii="宋体" w:hAnsi="宋体" w:eastAsia="宋体"/>
                <w:color w:val="auto"/>
                <w:sz w:val="24"/>
                <w:highlight w:val="none"/>
              </w:rPr>
              <w:t>姓名：</w:t>
            </w:r>
            <w:r>
              <w:rPr>
                <w:rFonts w:ascii="宋体" w:hAnsi="宋体" w:eastAsia="宋体"/>
                <w:color w:val="auto"/>
                <w:sz w:val="24"/>
                <w:highlight w:val="none"/>
                <w:u w:val="single"/>
              </w:rPr>
              <w:t xml:space="preserve">               </w:t>
            </w:r>
            <w:r>
              <w:rPr>
                <w:rFonts w:ascii="宋体" w:hAnsi="宋体" w:eastAsia="宋体"/>
                <w:color w:val="auto"/>
                <w:sz w:val="24"/>
                <w:highlight w:val="none"/>
              </w:rPr>
              <w:t>证书编号：</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w:t>
            </w:r>
          </w:p>
        </w:tc>
      </w:tr>
      <w:tr w14:paraId="71C2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160" w:type="dxa"/>
            <w:vAlign w:val="center"/>
          </w:tcPr>
          <w:p w14:paraId="73D9F4EC">
            <w:pPr>
              <w:spacing w:line="520" w:lineRule="exact"/>
              <w:jc w:val="center"/>
              <w:rPr>
                <w:rFonts w:ascii="宋体" w:hAnsi="宋体" w:eastAsia="宋体"/>
                <w:color w:val="auto"/>
                <w:sz w:val="24"/>
                <w:highlight w:val="none"/>
              </w:rPr>
            </w:pPr>
            <w:r>
              <w:rPr>
                <w:rFonts w:ascii="宋体" w:hAnsi="宋体" w:eastAsia="宋体"/>
                <w:color w:val="auto"/>
                <w:sz w:val="24"/>
                <w:highlight w:val="none"/>
              </w:rPr>
              <w:t>备注</w:t>
            </w:r>
          </w:p>
        </w:tc>
        <w:tc>
          <w:tcPr>
            <w:tcW w:w="6840" w:type="dxa"/>
            <w:vAlign w:val="center"/>
          </w:tcPr>
          <w:p w14:paraId="2A55BAFA">
            <w:pPr>
              <w:spacing w:line="520" w:lineRule="exact"/>
              <w:ind w:firstLine="1200" w:firstLineChars="500"/>
              <w:rPr>
                <w:rFonts w:ascii="宋体" w:hAnsi="宋体" w:eastAsia="宋体"/>
                <w:color w:val="auto"/>
                <w:sz w:val="24"/>
                <w:highlight w:val="none"/>
                <w:u w:val="single"/>
              </w:rPr>
            </w:pPr>
          </w:p>
        </w:tc>
      </w:tr>
    </w:tbl>
    <w:p w14:paraId="410051F7">
      <w:pPr>
        <w:spacing w:before="156" w:after="156" w:line="520" w:lineRule="exact"/>
        <w:jc w:val="center"/>
        <w:rPr>
          <w:rFonts w:hint="eastAsia" w:ascii="宋体" w:hAnsi="宋体"/>
          <w:b/>
          <w:color w:val="auto"/>
          <w:sz w:val="24"/>
          <w:highlight w:val="none"/>
        </w:rPr>
      </w:pPr>
      <w:r>
        <w:rPr>
          <w:rFonts w:hint="eastAsia" w:ascii="宋体" w:hAnsi="宋体"/>
          <w:b/>
          <w:color w:val="auto"/>
          <w:sz w:val="24"/>
          <w:highlight w:val="none"/>
        </w:rPr>
        <w:t xml:space="preserve">注：供应商报价如果明显低于其他通过初步评审的供应商的报价或明显低于成本价的，有可能影响服务质量或者不能诚信履约的，磋商小组应当要求其在评标现场合理的时间内提供书面说明，必要时提交相关证明材料；供应商不能证明其报价合理性的，磋商小组应当将其作为无效投标处理。  </w:t>
      </w:r>
    </w:p>
    <w:p w14:paraId="152D2694">
      <w:pPr>
        <w:spacing w:line="520" w:lineRule="exact"/>
        <w:ind w:firstLine="648" w:firstLineChars="270"/>
        <w:rPr>
          <w:rFonts w:hint="eastAsia" w:ascii="宋体" w:hAnsi="宋体"/>
          <w:color w:val="auto"/>
          <w:sz w:val="24"/>
          <w:highlight w:val="none"/>
        </w:rPr>
      </w:pPr>
    </w:p>
    <w:p w14:paraId="146DF0CD">
      <w:pPr>
        <w:spacing w:line="520" w:lineRule="exact"/>
        <w:ind w:firstLine="648" w:firstLineChars="270"/>
        <w:jc w:val="center"/>
        <w:rPr>
          <w:rFonts w:hint="eastAsia" w:ascii="宋体" w:hAnsi="宋体"/>
          <w:color w:val="auto"/>
          <w:sz w:val="24"/>
          <w:highlight w:val="none"/>
        </w:rPr>
      </w:pPr>
      <w:r>
        <w:rPr>
          <w:rFonts w:hint="eastAsia" w:ascii="宋体" w:hAnsi="宋体"/>
          <w:color w:val="auto"/>
          <w:sz w:val="24"/>
          <w:highlight w:val="none"/>
        </w:rPr>
        <w:t xml:space="preserve">                                   供应商：</w:t>
      </w:r>
      <w:r>
        <w:rPr>
          <w:rFonts w:hint="eastAsia" w:ascii="宋体" w:hAnsi="宋体"/>
          <w:b/>
          <w:bCs/>
          <w:color w:val="auto"/>
          <w:sz w:val="24"/>
          <w:highlight w:val="none"/>
          <w:u w:val="single"/>
        </w:rPr>
        <w:t xml:space="preserve">                </w:t>
      </w:r>
      <w:r>
        <w:rPr>
          <w:rFonts w:hint="eastAsia" w:ascii="宋体" w:hAnsi="宋体"/>
          <w:color w:val="auto"/>
          <w:sz w:val="24"/>
          <w:highlight w:val="none"/>
        </w:rPr>
        <w:t>（</w:t>
      </w:r>
      <w:r>
        <w:rPr>
          <w:rFonts w:hint="eastAsia" w:ascii="宋体" w:hAnsi="宋体"/>
          <w:bCs/>
          <w:color w:val="auto"/>
          <w:sz w:val="24"/>
          <w:highlight w:val="none"/>
        </w:rPr>
        <w:t>电子签章</w:t>
      </w:r>
      <w:r>
        <w:rPr>
          <w:rFonts w:hint="eastAsia" w:ascii="宋体" w:hAnsi="宋体"/>
          <w:color w:val="auto"/>
          <w:sz w:val="24"/>
          <w:highlight w:val="none"/>
        </w:rPr>
        <w:t>）</w:t>
      </w:r>
    </w:p>
    <w:p w14:paraId="5A05C8DA">
      <w:pPr>
        <w:spacing w:line="520" w:lineRule="exact"/>
        <w:ind w:firstLine="595" w:firstLineChars="248"/>
        <w:jc w:val="right"/>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2C82DF1C">
      <w:pPr>
        <w:spacing w:line="520" w:lineRule="exact"/>
        <w:ind w:firstLine="648" w:firstLineChars="270"/>
        <w:jc w:val="right"/>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0C1C4AE2">
      <w:pPr>
        <w:pStyle w:val="38"/>
        <w:spacing w:line="52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br w:type="page"/>
      </w:r>
      <w:bookmarkStart w:id="312" w:name="_Toc22069"/>
      <w:bookmarkStart w:id="313" w:name="_Toc15139"/>
      <w:bookmarkStart w:id="314" w:name="_Toc4370"/>
      <w:r>
        <w:rPr>
          <w:rFonts w:hint="eastAsia" w:ascii="宋体" w:hAnsi="宋体"/>
          <w:b/>
          <w:bCs/>
          <w:color w:val="auto"/>
          <w:sz w:val="24"/>
          <w:szCs w:val="24"/>
          <w:highlight w:val="none"/>
        </w:rPr>
        <w:t>三、</w:t>
      </w:r>
      <w:r>
        <w:rPr>
          <w:rFonts w:hint="eastAsia" w:ascii="宋体" w:hAnsi="宋体"/>
          <w:b/>
          <w:color w:val="auto"/>
          <w:sz w:val="24"/>
          <w:szCs w:val="24"/>
          <w:highlight w:val="none"/>
        </w:rPr>
        <w:t>法定代表人身份证明及授权委托书</w:t>
      </w:r>
      <w:bookmarkEnd w:id="312"/>
      <w:bookmarkEnd w:id="313"/>
      <w:bookmarkEnd w:id="314"/>
    </w:p>
    <w:p w14:paraId="14DF2B65">
      <w:pPr>
        <w:pStyle w:val="22"/>
        <w:spacing w:line="520" w:lineRule="exact"/>
        <w:jc w:val="center"/>
        <w:rPr>
          <w:rFonts w:hint="eastAsia" w:ascii="宋体" w:hAnsi="宋体"/>
          <w:color w:val="auto"/>
          <w:sz w:val="24"/>
          <w:szCs w:val="24"/>
          <w:highlight w:val="none"/>
        </w:rPr>
      </w:pPr>
      <w:bookmarkStart w:id="315" w:name="_Toc517781754"/>
      <w:bookmarkStart w:id="316" w:name="_Toc179632811"/>
      <w:bookmarkStart w:id="317" w:name="_Toc15762"/>
      <w:bookmarkStart w:id="318" w:name="_Toc246996359"/>
      <w:bookmarkStart w:id="319" w:name="_Toc247085877"/>
      <w:bookmarkStart w:id="320" w:name="_Toc32441"/>
      <w:bookmarkStart w:id="321" w:name="_Toc152042580"/>
      <w:bookmarkStart w:id="322" w:name="_Toc246997102"/>
      <w:bookmarkStart w:id="323" w:name="_Toc12972"/>
      <w:bookmarkStart w:id="324" w:name="_Toc494031782"/>
      <w:bookmarkStart w:id="325" w:name="_Toc507754819"/>
      <w:bookmarkStart w:id="326" w:name="_Toc152045791"/>
      <w:bookmarkStart w:id="327" w:name="_Toc494549198"/>
      <w:bookmarkStart w:id="328" w:name="_Toc144974860"/>
      <w:r>
        <w:rPr>
          <w:rFonts w:hint="eastAsia" w:ascii="宋体" w:hAnsi="宋体"/>
          <w:color w:val="auto"/>
          <w:sz w:val="24"/>
          <w:szCs w:val="24"/>
          <w:highlight w:val="none"/>
        </w:rPr>
        <w:t>（一）法定代表人身份证明</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31A56DBD">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19E795F4">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604A4E2">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olor w:val="auto"/>
          <w:sz w:val="24"/>
          <w:highlight w:val="none"/>
          <w:u w:val="single"/>
        </w:rPr>
        <w:t xml:space="preserve">                                   </w:t>
      </w:r>
    </w:p>
    <w:p w14:paraId="52A43085">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成立时间：</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3E0EAD8">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经营期限：</w:t>
      </w:r>
      <w:r>
        <w:rPr>
          <w:rFonts w:hint="eastAsia" w:ascii="宋体" w:hAnsi="宋体"/>
          <w:color w:val="auto"/>
          <w:sz w:val="24"/>
          <w:highlight w:val="none"/>
          <w:u w:val="single"/>
        </w:rPr>
        <w:t xml:space="preserve">                               </w:t>
      </w:r>
    </w:p>
    <w:p w14:paraId="28FBD1AE">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年龄：</w:t>
      </w:r>
      <w:r>
        <w:rPr>
          <w:rFonts w:hint="eastAsia" w:ascii="宋体" w:hAnsi="宋体"/>
          <w:color w:val="auto"/>
          <w:sz w:val="24"/>
          <w:highlight w:val="none"/>
          <w:u w:val="single"/>
        </w:rPr>
        <w:t xml:space="preserve">        </w:t>
      </w:r>
      <w:r>
        <w:rPr>
          <w:rFonts w:hint="eastAsia" w:ascii="宋体" w:hAnsi="宋体"/>
          <w:color w:val="auto"/>
          <w:sz w:val="24"/>
          <w:highlight w:val="none"/>
        </w:rPr>
        <w:t>职务：</w:t>
      </w:r>
      <w:r>
        <w:rPr>
          <w:rFonts w:hint="eastAsia" w:ascii="宋体" w:hAnsi="宋体"/>
          <w:color w:val="auto"/>
          <w:sz w:val="24"/>
          <w:highlight w:val="none"/>
          <w:u w:val="single"/>
        </w:rPr>
        <w:t xml:space="preserve">        </w:t>
      </w:r>
    </w:p>
    <w:p w14:paraId="1842123B">
      <w:pPr>
        <w:spacing w:line="520" w:lineRule="exact"/>
        <w:ind w:firstLine="484" w:firstLineChars="202"/>
        <w:rPr>
          <w:rFonts w:hint="eastAsia"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（供应商名称）的法定代表人。</w:t>
      </w:r>
    </w:p>
    <w:p w14:paraId="1B386B81">
      <w:pPr>
        <w:spacing w:line="520" w:lineRule="exact"/>
        <w:ind w:firstLine="844" w:firstLineChars="352"/>
        <w:rPr>
          <w:rFonts w:hint="eastAsia" w:ascii="宋体" w:hAnsi="宋体"/>
          <w:color w:val="auto"/>
          <w:sz w:val="24"/>
          <w:highlight w:val="none"/>
        </w:rPr>
      </w:pPr>
      <w:r>
        <w:rPr>
          <w:rFonts w:hint="eastAsia" w:ascii="宋体" w:hAnsi="宋体"/>
          <w:color w:val="auto"/>
          <w:sz w:val="24"/>
          <w:highlight w:val="none"/>
        </w:rPr>
        <w:t>特此证明。</w:t>
      </w:r>
    </w:p>
    <w:p w14:paraId="0C1A52AE">
      <w:pPr>
        <w:spacing w:line="520" w:lineRule="exact"/>
        <w:rPr>
          <w:rFonts w:hint="eastAsia" w:ascii="宋体" w:hAnsi="宋体"/>
          <w:color w:val="auto"/>
          <w:sz w:val="24"/>
          <w:highlight w:val="none"/>
        </w:rPr>
      </w:pPr>
    </w:p>
    <w:p w14:paraId="403D6FE3">
      <w:pPr>
        <w:spacing w:line="520" w:lineRule="exact"/>
        <w:rPr>
          <w:rFonts w:hint="eastAsia" w:ascii="宋体" w:hAnsi="宋体"/>
          <w:color w:val="auto"/>
          <w:sz w:val="24"/>
          <w:highlight w:val="none"/>
        </w:rPr>
      </w:pPr>
    </w:p>
    <w:p w14:paraId="69C11675">
      <w:pPr>
        <w:spacing w:line="520" w:lineRule="exact"/>
        <w:rPr>
          <w:rFonts w:hint="eastAsia" w:ascii="宋体" w:hAnsi="宋体"/>
          <w:color w:val="auto"/>
          <w:sz w:val="24"/>
          <w:highlight w:val="none"/>
        </w:rPr>
      </w:pPr>
      <w:r>
        <w:rPr>
          <w:rFonts w:hint="eastAsia" w:ascii="宋体" w:hAnsi="宋体"/>
          <w:color w:val="auto"/>
          <w:sz w:val="24"/>
          <w:highlight w:val="none"/>
        </w:rPr>
        <w:t xml:space="preserve">                                  供应商：</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4FF101DF">
      <w:pPr>
        <w:spacing w:line="520" w:lineRule="exact"/>
        <w:rPr>
          <w:rFonts w:hint="eastAsia" w:ascii="宋体" w:hAnsi="宋体"/>
          <w:color w:val="auto"/>
          <w:sz w:val="24"/>
          <w:highlight w:val="none"/>
        </w:rPr>
      </w:pPr>
      <w:r>
        <w:rPr>
          <w:rFonts w:hint="eastAsia" w:ascii="宋体" w:hAnsi="宋体"/>
          <w:color w:val="auto"/>
          <w:sz w:val="24"/>
          <w:highlight w:val="none"/>
        </w:rPr>
        <w:t xml:space="preserve">                                  </w:t>
      </w:r>
    </w:p>
    <w:p w14:paraId="481170E4">
      <w:pPr>
        <w:spacing w:line="520" w:lineRule="exact"/>
        <w:jc w:val="center"/>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p>
    <w:p w14:paraId="4D8EA212">
      <w:pPr>
        <w:spacing w:line="520" w:lineRule="exact"/>
        <w:rPr>
          <w:rFonts w:hint="eastAsia" w:ascii="宋体" w:hAnsi="宋体"/>
          <w:color w:val="auto"/>
          <w:sz w:val="24"/>
          <w:highlight w:val="none"/>
        </w:rPr>
      </w:pPr>
    </w:p>
    <w:p w14:paraId="619B7549">
      <w:pPr>
        <w:spacing w:line="520" w:lineRule="exact"/>
        <w:rPr>
          <w:rFonts w:hint="eastAsia" w:ascii="宋体" w:hAnsi="宋体"/>
          <w:color w:val="auto"/>
          <w:sz w:val="24"/>
          <w:highlight w:val="none"/>
        </w:rPr>
      </w:pPr>
    </w:p>
    <w:p w14:paraId="589C983A">
      <w:pPr>
        <w:ind w:firstLine="2730" w:firstLineChars="1300"/>
        <w:rPr>
          <w:rFonts w:hint="eastAsia"/>
          <w:color w:val="auto"/>
          <w:highlight w:val="none"/>
        </w:rPr>
      </w:pPr>
    </w:p>
    <w:p w14:paraId="0FB20B3A">
      <w:pPr>
        <w:ind w:firstLine="2730" w:firstLineChars="1300"/>
        <w:rPr>
          <w:rFonts w:hint="eastAsia"/>
          <w:color w:val="auto"/>
          <w:highlight w:val="none"/>
        </w:rPr>
      </w:pPr>
    </w:p>
    <w:p w14:paraId="3DAA1281">
      <w:pPr>
        <w:ind w:firstLine="2730" w:firstLineChars="1300"/>
        <w:rPr>
          <w:rFonts w:hint="eastAsia"/>
          <w:color w:val="auto"/>
          <w:highlight w:val="none"/>
        </w:rPr>
      </w:pPr>
    </w:p>
    <w:p w14:paraId="5D024C91">
      <w:pPr>
        <w:ind w:firstLine="2730" w:firstLineChars="1300"/>
        <w:rPr>
          <w:rFonts w:hint="eastAsia"/>
          <w:color w:val="auto"/>
          <w:highlight w:val="none"/>
        </w:rPr>
      </w:pPr>
    </w:p>
    <w:p w14:paraId="75D5F130">
      <w:pPr>
        <w:pStyle w:val="22"/>
        <w:spacing w:line="520" w:lineRule="exact"/>
        <w:jc w:val="center"/>
        <w:rPr>
          <w:rFonts w:hint="eastAsia" w:ascii="宋体" w:hAnsi="宋体"/>
          <w:color w:val="auto"/>
          <w:sz w:val="24"/>
          <w:szCs w:val="24"/>
          <w:highlight w:val="none"/>
        </w:rPr>
      </w:pPr>
    </w:p>
    <w:p w14:paraId="30C71702">
      <w:pPr>
        <w:pStyle w:val="22"/>
        <w:spacing w:line="520" w:lineRule="exact"/>
        <w:rPr>
          <w:rFonts w:hint="eastAsia" w:ascii="宋体" w:hAnsi="宋体"/>
          <w:color w:val="auto"/>
          <w:sz w:val="24"/>
          <w:szCs w:val="24"/>
          <w:highlight w:val="none"/>
        </w:rPr>
      </w:pPr>
    </w:p>
    <w:p w14:paraId="0822E6C6">
      <w:pPr>
        <w:rPr>
          <w:rFonts w:hint="eastAsia"/>
          <w:color w:val="auto"/>
          <w:highlight w:val="none"/>
        </w:rPr>
      </w:pPr>
    </w:p>
    <w:p w14:paraId="1010781F">
      <w:pPr>
        <w:pStyle w:val="22"/>
        <w:spacing w:line="520" w:lineRule="exact"/>
        <w:jc w:val="center"/>
        <w:rPr>
          <w:rFonts w:hint="eastAsia" w:ascii="宋体" w:hAnsi="宋体"/>
          <w:color w:val="auto"/>
          <w:sz w:val="24"/>
          <w:szCs w:val="24"/>
          <w:highlight w:val="none"/>
        </w:rPr>
      </w:pPr>
      <w:r>
        <w:rPr>
          <w:rFonts w:hint="eastAsia" w:ascii="宋体" w:hAnsi="宋体"/>
          <w:color w:val="auto"/>
          <w:sz w:val="24"/>
          <w:szCs w:val="24"/>
          <w:highlight w:val="none"/>
        </w:rPr>
        <w:t>（二）</w:t>
      </w:r>
      <w:r>
        <w:rPr>
          <w:rFonts w:hint="eastAsia" w:ascii="宋体" w:hAnsi="宋体"/>
          <w:b w:val="0"/>
          <w:bCs w:val="0"/>
          <w:color w:val="auto"/>
          <w:sz w:val="24"/>
          <w:szCs w:val="24"/>
          <w:highlight w:val="none"/>
        </w:rPr>
        <w:t>授权委托书</w:t>
      </w:r>
    </w:p>
    <w:p w14:paraId="64E3AEEF">
      <w:pPr>
        <w:autoSpaceDE w:val="0"/>
        <w:autoSpaceDN w:val="0"/>
        <w:spacing w:line="520" w:lineRule="exact"/>
        <w:ind w:firstLine="720" w:firstLineChars="300"/>
        <w:jc w:val="left"/>
        <w:rPr>
          <w:rFonts w:hint="eastAsia" w:ascii="宋体" w:hAnsi="宋体"/>
          <w:color w:val="auto"/>
          <w:kern w:val="0"/>
          <w:sz w:val="24"/>
          <w:highlight w:val="none"/>
        </w:rPr>
      </w:pPr>
      <w:r>
        <w:rPr>
          <w:rFonts w:hint="eastAsia" w:ascii="宋体" w:hAnsi="宋体"/>
          <w:color w:val="auto"/>
          <w:kern w:val="0"/>
          <w:sz w:val="24"/>
          <w:highlight w:val="none"/>
        </w:rPr>
        <w:t xml:space="preserve">本人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（姓名）系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（供应商名称）的法定代表人（负责人），现委托</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（姓名）为我方代理人。代理人根据授权，以我方名义签署、澄清、说明、补正、递交、撤回、修改</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（项目名称）响应文件、签订合同和处理有关事宜，其法律后果由我方承担。</w:t>
      </w:r>
    </w:p>
    <w:p w14:paraId="4D03B74B">
      <w:pPr>
        <w:autoSpaceDE w:val="0"/>
        <w:autoSpaceDN w:val="0"/>
        <w:spacing w:line="520" w:lineRule="exact"/>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委托期限：</w:t>
      </w:r>
      <w:r>
        <w:rPr>
          <w:rFonts w:hint="eastAsia" w:ascii="宋体" w:hAnsi="宋体"/>
          <w:color w:val="auto"/>
          <w:kern w:val="0"/>
          <w:sz w:val="24"/>
          <w:highlight w:val="none"/>
          <w:u w:val="single"/>
        </w:rPr>
        <w:t xml:space="preserve">  自本委托书签署之日起至投标有效期满止   </w:t>
      </w:r>
      <w:r>
        <w:rPr>
          <w:rFonts w:hint="eastAsia" w:ascii="宋体" w:hAnsi="宋体"/>
          <w:color w:val="auto"/>
          <w:kern w:val="0"/>
          <w:sz w:val="24"/>
          <w:highlight w:val="none"/>
        </w:rPr>
        <w:t>。</w:t>
      </w:r>
    </w:p>
    <w:p w14:paraId="5C5FF746">
      <w:pPr>
        <w:autoSpaceDE w:val="0"/>
        <w:autoSpaceDN w:val="0"/>
        <w:spacing w:line="520" w:lineRule="exact"/>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代理人无转委托权。</w:t>
      </w:r>
    </w:p>
    <w:p w14:paraId="0E9EDD76">
      <w:pPr>
        <w:autoSpaceDE w:val="0"/>
        <w:autoSpaceDN w:val="0"/>
        <w:spacing w:line="520" w:lineRule="exact"/>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附：法定代表人及授权委托人身份证扫描件</w:t>
      </w:r>
    </w:p>
    <w:p w14:paraId="36A49030">
      <w:pPr>
        <w:autoSpaceDE w:val="0"/>
        <w:autoSpaceDN w:val="0"/>
        <w:spacing w:line="520" w:lineRule="exact"/>
        <w:ind w:firstLine="480" w:firstLineChars="200"/>
        <w:jc w:val="left"/>
        <w:rPr>
          <w:rFonts w:hint="eastAsia" w:ascii="宋体" w:hAnsi="宋体"/>
          <w:color w:val="auto"/>
          <w:kern w:val="0"/>
          <w:sz w:val="24"/>
          <w:highlight w:val="none"/>
        </w:rPr>
      </w:pPr>
    </w:p>
    <w:p w14:paraId="50DCA914">
      <w:pPr>
        <w:autoSpaceDE w:val="0"/>
        <w:autoSpaceDN w:val="0"/>
        <w:spacing w:line="520" w:lineRule="exact"/>
        <w:ind w:firstLine="480" w:firstLineChars="200"/>
        <w:jc w:val="left"/>
        <w:rPr>
          <w:rFonts w:hint="eastAsia" w:ascii="宋体" w:hAnsi="宋体"/>
          <w:color w:val="auto"/>
          <w:kern w:val="0"/>
          <w:sz w:val="24"/>
          <w:highlight w:val="none"/>
        </w:rPr>
      </w:pPr>
    </w:p>
    <w:p w14:paraId="22D1A8C7">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电子签章</w:t>
      </w:r>
      <w:r>
        <w:rPr>
          <w:rFonts w:hint="eastAsia" w:ascii="宋体" w:hAnsi="宋体"/>
          <w:color w:val="auto"/>
          <w:kern w:val="0"/>
          <w:sz w:val="24"/>
          <w:highlight w:val="none"/>
        </w:rPr>
        <w:t>）</w:t>
      </w:r>
    </w:p>
    <w:p w14:paraId="786C2D8D">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法定代表人：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电子签章</w:t>
      </w:r>
      <w:r>
        <w:rPr>
          <w:rFonts w:hint="eastAsia" w:ascii="宋体" w:hAnsi="宋体"/>
          <w:color w:val="auto"/>
          <w:kern w:val="0"/>
          <w:sz w:val="24"/>
          <w:highlight w:val="none"/>
        </w:rPr>
        <w:t>）</w:t>
      </w:r>
    </w:p>
    <w:p w14:paraId="51A8AFD2">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法定代表人身份证号码：</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0D34E2E5">
      <w:pPr>
        <w:tabs>
          <w:tab w:val="left" w:pos="2328"/>
        </w:tabs>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委托代理人：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44384EC6">
      <w:pPr>
        <w:autoSpaceDE w:val="0"/>
        <w:autoSpaceDN w:val="0"/>
        <w:spacing w:line="520" w:lineRule="exact"/>
        <w:ind w:firstLine="2160" w:firstLineChars="900"/>
        <w:jc w:val="left"/>
        <w:rPr>
          <w:rFonts w:hint="eastAsia" w:ascii="宋体" w:hAnsi="宋体"/>
          <w:color w:val="auto"/>
          <w:kern w:val="0"/>
          <w:sz w:val="24"/>
          <w:highlight w:val="none"/>
        </w:rPr>
      </w:pPr>
      <w:r>
        <w:rPr>
          <w:rFonts w:hint="eastAsia" w:ascii="宋体" w:hAnsi="宋体"/>
          <w:color w:val="auto"/>
          <w:kern w:val="0"/>
          <w:sz w:val="24"/>
          <w:highlight w:val="none"/>
        </w:rPr>
        <w:t>委托代理人身份证号码：</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669FB019">
      <w:pPr>
        <w:pStyle w:val="23"/>
        <w:spacing w:before="0" w:after="0" w:line="520" w:lineRule="exact"/>
        <w:ind w:firstLine="2160" w:firstLineChars="900"/>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委托代理人联系方式：</w:t>
      </w:r>
      <w:r>
        <w:rPr>
          <w:rFonts w:hint="eastAsia" w:ascii="宋体" w:hAnsi="宋体" w:eastAsia="宋体"/>
          <w:b w:val="0"/>
          <w:bCs w:val="0"/>
          <w:color w:val="auto"/>
          <w:sz w:val="24"/>
          <w:szCs w:val="24"/>
          <w:highlight w:val="none"/>
          <w:u w:val="single"/>
        </w:rPr>
        <w:t xml:space="preserve">                      </w:t>
      </w:r>
      <w:r>
        <w:rPr>
          <w:rFonts w:hint="eastAsia" w:ascii="宋体" w:hAnsi="宋体" w:eastAsia="宋体"/>
          <w:b w:val="0"/>
          <w:bCs w:val="0"/>
          <w:color w:val="auto"/>
          <w:sz w:val="24"/>
          <w:szCs w:val="24"/>
          <w:highlight w:val="none"/>
        </w:rPr>
        <w:t xml:space="preserve">          </w:t>
      </w:r>
    </w:p>
    <w:p w14:paraId="09F6D859">
      <w:pPr>
        <w:pStyle w:val="21"/>
        <w:autoSpaceDE w:val="0"/>
        <w:spacing w:after="312"/>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b w:val="0"/>
          <w:bCs w:val="0"/>
          <w:color w:val="auto"/>
          <w:kern w:val="0"/>
          <w:sz w:val="24"/>
          <w:szCs w:val="24"/>
          <w:highlight w:val="none"/>
        </w:rPr>
        <w:t xml:space="preserve"> </w:t>
      </w:r>
      <w:r>
        <w:rPr>
          <w:rFonts w:hint="eastAsia" w:ascii="宋体" w:hAnsi="宋体" w:eastAsia="宋体"/>
          <w:b w:val="0"/>
          <w:bCs w:val="0"/>
          <w:color w:val="auto"/>
          <w:sz w:val="24"/>
          <w:szCs w:val="24"/>
          <w:highlight w:val="none"/>
          <w:u w:val="single"/>
        </w:rPr>
        <w:t xml:space="preserve">     </w:t>
      </w:r>
      <w:r>
        <w:rPr>
          <w:rFonts w:hint="eastAsia" w:ascii="宋体" w:hAnsi="宋体" w:eastAsia="宋体"/>
          <w:b w:val="0"/>
          <w:bCs w:val="0"/>
          <w:color w:val="auto"/>
          <w:sz w:val="24"/>
          <w:szCs w:val="24"/>
          <w:highlight w:val="none"/>
        </w:rPr>
        <w:t xml:space="preserve"> 年</w:t>
      </w:r>
      <w:r>
        <w:rPr>
          <w:rFonts w:hint="eastAsia" w:ascii="宋体" w:hAnsi="宋体" w:eastAsia="宋体"/>
          <w:b w:val="0"/>
          <w:bCs w:val="0"/>
          <w:color w:val="auto"/>
          <w:sz w:val="24"/>
          <w:szCs w:val="24"/>
          <w:highlight w:val="none"/>
          <w:u w:val="single"/>
        </w:rPr>
        <w:t xml:space="preserve">     </w:t>
      </w:r>
      <w:r>
        <w:rPr>
          <w:rFonts w:hint="eastAsia" w:ascii="宋体" w:hAnsi="宋体" w:eastAsia="宋体"/>
          <w:b w:val="0"/>
          <w:bCs w:val="0"/>
          <w:color w:val="auto"/>
          <w:sz w:val="24"/>
          <w:szCs w:val="24"/>
          <w:highlight w:val="none"/>
        </w:rPr>
        <w:t>月</w:t>
      </w:r>
      <w:r>
        <w:rPr>
          <w:rFonts w:hint="eastAsia" w:ascii="宋体" w:hAnsi="宋体" w:eastAsia="宋体"/>
          <w:b w:val="0"/>
          <w:bCs w:val="0"/>
          <w:color w:val="auto"/>
          <w:sz w:val="24"/>
          <w:szCs w:val="24"/>
          <w:highlight w:val="none"/>
          <w:u w:val="single"/>
        </w:rPr>
        <w:t xml:space="preserve">     </w:t>
      </w:r>
      <w:r>
        <w:rPr>
          <w:rFonts w:hint="eastAsia" w:ascii="宋体" w:hAnsi="宋体" w:eastAsia="宋体"/>
          <w:b w:val="0"/>
          <w:bCs w:val="0"/>
          <w:color w:val="auto"/>
          <w:sz w:val="24"/>
          <w:szCs w:val="24"/>
          <w:highlight w:val="none"/>
        </w:rPr>
        <w:t>日</w:t>
      </w:r>
      <w:r>
        <w:rPr>
          <w:rFonts w:hint="eastAsia" w:ascii="宋体" w:hAnsi="宋体" w:eastAsia="宋体"/>
          <w:b w:val="0"/>
          <w:bCs w:val="0"/>
          <w:color w:val="auto"/>
          <w:sz w:val="24"/>
          <w:szCs w:val="24"/>
          <w:highlight w:val="none"/>
        </w:rPr>
        <w:br w:type="page"/>
      </w:r>
      <w:r>
        <w:rPr>
          <w:rFonts w:hint="eastAsia" w:ascii="宋体" w:hAnsi="宋体" w:eastAsia="宋体"/>
          <w:color w:val="auto"/>
          <w:sz w:val="24"/>
          <w:szCs w:val="24"/>
          <w:highlight w:val="none"/>
        </w:rPr>
        <w:t>四、项目拟派人员组成表</w:t>
      </w:r>
    </w:p>
    <w:p w14:paraId="7825CA8E">
      <w:pPr>
        <w:pStyle w:val="21"/>
        <w:autoSpaceDE w:val="0"/>
        <w:spacing w:after="312"/>
        <w:jc w:val="center"/>
        <w:rPr>
          <w:rFonts w:hint="eastAsia" w:ascii="宋体" w:hAnsi="宋体" w:eastAsia="宋体"/>
          <w:color w:val="auto"/>
          <w:sz w:val="24"/>
          <w:szCs w:val="24"/>
          <w:highlight w:val="none"/>
        </w:rPr>
      </w:pPr>
      <w:bookmarkStart w:id="329" w:name="_Toc10099"/>
      <w:bookmarkEnd w:id="329"/>
      <w:r>
        <w:rPr>
          <w:rFonts w:hint="eastAsia" w:ascii="宋体" w:hAnsi="宋体" w:eastAsia="宋体"/>
          <w:color w:val="auto"/>
          <w:sz w:val="24"/>
          <w:szCs w:val="24"/>
          <w:highlight w:val="none"/>
        </w:rPr>
        <w:t>（一）项目管理机构组成表</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1073"/>
        <w:gridCol w:w="1074"/>
        <w:gridCol w:w="1200"/>
        <w:gridCol w:w="946"/>
        <w:gridCol w:w="1074"/>
        <w:gridCol w:w="2297"/>
        <w:gridCol w:w="935"/>
      </w:tblGrid>
      <w:tr w14:paraId="72D24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55" w:type="pct"/>
            <w:vMerge w:val="restart"/>
            <w:tcBorders>
              <w:top w:val="single" w:color="auto" w:sz="4" w:space="0"/>
              <w:left w:val="single" w:color="auto" w:sz="4" w:space="0"/>
              <w:bottom w:val="single" w:color="auto" w:sz="4" w:space="0"/>
              <w:right w:val="single" w:color="auto" w:sz="4" w:space="0"/>
            </w:tcBorders>
            <w:vAlign w:val="center"/>
          </w:tcPr>
          <w:p w14:paraId="5AA08DF1">
            <w:pPr>
              <w:jc w:val="center"/>
              <w:rPr>
                <w:rFonts w:ascii="宋体" w:hAnsi="宋体"/>
                <w:color w:val="auto"/>
                <w:highlight w:val="none"/>
              </w:rPr>
            </w:pPr>
            <w:r>
              <w:rPr>
                <w:rFonts w:ascii="宋体" w:hAnsi="宋体"/>
                <w:color w:val="auto"/>
                <w:highlight w:val="none"/>
              </w:rPr>
              <w:t>序号</w:t>
            </w:r>
          </w:p>
        </w:tc>
        <w:tc>
          <w:tcPr>
            <w:tcW w:w="555" w:type="pct"/>
            <w:vMerge w:val="restart"/>
            <w:tcBorders>
              <w:top w:val="single" w:color="auto" w:sz="4" w:space="0"/>
              <w:left w:val="single" w:color="auto" w:sz="4" w:space="0"/>
              <w:bottom w:val="single" w:color="auto" w:sz="4" w:space="0"/>
              <w:right w:val="single" w:color="auto" w:sz="4" w:space="0"/>
            </w:tcBorders>
            <w:vAlign w:val="center"/>
          </w:tcPr>
          <w:p w14:paraId="2B87FB7F">
            <w:pPr>
              <w:jc w:val="center"/>
              <w:rPr>
                <w:rFonts w:ascii="宋体" w:hAnsi="宋体"/>
                <w:color w:val="auto"/>
                <w:highlight w:val="none"/>
              </w:rPr>
            </w:pPr>
            <w:r>
              <w:rPr>
                <w:rFonts w:ascii="宋体" w:hAnsi="宋体"/>
                <w:color w:val="auto"/>
                <w:highlight w:val="none"/>
              </w:rPr>
              <w:t>姓名</w:t>
            </w:r>
          </w:p>
        </w:tc>
        <w:tc>
          <w:tcPr>
            <w:tcW w:w="555" w:type="pct"/>
            <w:vMerge w:val="restart"/>
            <w:tcBorders>
              <w:top w:val="single" w:color="auto" w:sz="4" w:space="0"/>
              <w:left w:val="single" w:color="auto" w:sz="4" w:space="0"/>
              <w:bottom w:val="single" w:color="auto" w:sz="4" w:space="0"/>
              <w:right w:val="single" w:color="auto" w:sz="4" w:space="0"/>
            </w:tcBorders>
            <w:vAlign w:val="center"/>
          </w:tcPr>
          <w:p w14:paraId="3FEFE529">
            <w:pPr>
              <w:jc w:val="center"/>
              <w:rPr>
                <w:rFonts w:ascii="宋体" w:hAnsi="宋体"/>
                <w:color w:val="auto"/>
                <w:highlight w:val="none"/>
              </w:rPr>
            </w:pPr>
            <w:r>
              <w:rPr>
                <w:rFonts w:ascii="宋体" w:hAnsi="宋体"/>
                <w:color w:val="auto"/>
                <w:highlight w:val="none"/>
              </w:rPr>
              <w:t>职称</w:t>
            </w:r>
          </w:p>
        </w:tc>
        <w:tc>
          <w:tcPr>
            <w:tcW w:w="2851" w:type="pct"/>
            <w:gridSpan w:val="4"/>
            <w:tcBorders>
              <w:top w:val="single" w:color="auto" w:sz="4" w:space="0"/>
              <w:left w:val="single" w:color="auto" w:sz="4" w:space="0"/>
              <w:bottom w:val="single" w:color="auto" w:sz="4" w:space="0"/>
              <w:right w:val="single" w:color="auto" w:sz="4" w:space="0"/>
            </w:tcBorders>
            <w:vAlign w:val="center"/>
          </w:tcPr>
          <w:p w14:paraId="4C10101E">
            <w:pPr>
              <w:jc w:val="center"/>
              <w:rPr>
                <w:rFonts w:ascii="宋体" w:hAnsi="宋体"/>
                <w:color w:val="auto"/>
                <w:highlight w:val="none"/>
              </w:rPr>
            </w:pPr>
            <w:r>
              <w:rPr>
                <w:rFonts w:ascii="宋体" w:hAnsi="宋体"/>
                <w:color w:val="auto"/>
                <w:highlight w:val="none"/>
              </w:rPr>
              <w:t>执业或职业资格证明</w:t>
            </w:r>
          </w:p>
        </w:tc>
        <w:tc>
          <w:tcPr>
            <w:tcW w:w="483" w:type="pct"/>
            <w:vMerge w:val="restart"/>
            <w:tcBorders>
              <w:top w:val="single" w:color="auto" w:sz="4" w:space="0"/>
              <w:left w:val="single" w:color="auto" w:sz="4" w:space="0"/>
              <w:bottom w:val="single" w:color="auto" w:sz="4" w:space="0"/>
              <w:right w:val="single" w:color="auto" w:sz="4" w:space="0"/>
            </w:tcBorders>
            <w:vAlign w:val="center"/>
          </w:tcPr>
          <w:p w14:paraId="5ACADD46">
            <w:pPr>
              <w:jc w:val="center"/>
              <w:rPr>
                <w:rFonts w:ascii="宋体" w:hAnsi="宋体"/>
                <w:color w:val="auto"/>
                <w:highlight w:val="none"/>
              </w:rPr>
            </w:pPr>
            <w:r>
              <w:rPr>
                <w:rFonts w:ascii="宋体" w:hAnsi="宋体"/>
                <w:color w:val="auto"/>
                <w:highlight w:val="none"/>
              </w:rPr>
              <w:t>备注</w:t>
            </w:r>
          </w:p>
        </w:tc>
      </w:tr>
      <w:tr w14:paraId="0B1F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555" w:type="pct"/>
            <w:vMerge w:val="continue"/>
            <w:tcBorders>
              <w:top w:val="single" w:color="auto" w:sz="4" w:space="0"/>
              <w:left w:val="single" w:color="auto" w:sz="4" w:space="0"/>
              <w:bottom w:val="single" w:color="auto" w:sz="4" w:space="0"/>
              <w:right w:val="single" w:color="auto" w:sz="4" w:space="0"/>
            </w:tcBorders>
            <w:vAlign w:val="center"/>
          </w:tcPr>
          <w:p w14:paraId="5F659B60">
            <w:pPr>
              <w:widowControl/>
              <w:jc w:val="left"/>
              <w:rPr>
                <w:color w:val="auto"/>
                <w:highlight w:val="none"/>
              </w:rPr>
            </w:pPr>
          </w:p>
        </w:tc>
        <w:tc>
          <w:tcPr>
            <w:tcW w:w="555" w:type="pct"/>
            <w:vMerge w:val="continue"/>
            <w:tcBorders>
              <w:top w:val="single" w:color="auto" w:sz="4" w:space="0"/>
              <w:left w:val="single" w:color="auto" w:sz="4" w:space="0"/>
              <w:bottom w:val="single" w:color="auto" w:sz="4" w:space="0"/>
              <w:right w:val="single" w:color="auto" w:sz="4" w:space="0"/>
            </w:tcBorders>
            <w:vAlign w:val="center"/>
          </w:tcPr>
          <w:p w14:paraId="4AEA1CFC">
            <w:pPr>
              <w:widowControl/>
              <w:jc w:val="left"/>
              <w:rPr>
                <w:color w:val="auto"/>
                <w:highlight w:val="none"/>
              </w:rPr>
            </w:pPr>
          </w:p>
        </w:tc>
        <w:tc>
          <w:tcPr>
            <w:tcW w:w="555" w:type="pct"/>
            <w:vMerge w:val="continue"/>
            <w:tcBorders>
              <w:top w:val="single" w:color="auto" w:sz="4" w:space="0"/>
              <w:left w:val="single" w:color="auto" w:sz="4" w:space="0"/>
              <w:bottom w:val="single" w:color="auto" w:sz="4" w:space="0"/>
              <w:right w:val="single" w:color="auto" w:sz="4" w:space="0"/>
            </w:tcBorders>
            <w:vAlign w:val="center"/>
          </w:tcPr>
          <w:p w14:paraId="62900436">
            <w:pPr>
              <w:widowControl/>
              <w:jc w:val="left"/>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E65AA36">
            <w:pPr>
              <w:rPr>
                <w:rFonts w:ascii="宋体" w:hAnsi="宋体"/>
                <w:color w:val="auto"/>
                <w:highlight w:val="none"/>
              </w:rPr>
            </w:pPr>
            <w:r>
              <w:rPr>
                <w:rFonts w:ascii="宋体" w:hAnsi="宋体"/>
                <w:color w:val="auto"/>
                <w:highlight w:val="none"/>
              </w:rPr>
              <w:t>证书名称</w:t>
            </w:r>
          </w:p>
        </w:tc>
        <w:tc>
          <w:tcPr>
            <w:tcW w:w="489" w:type="pct"/>
            <w:tcBorders>
              <w:top w:val="single" w:color="auto" w:sz="4" w:space="0"/>
              <w:left w:val="single" w:color="auto" w:sz="4" w:space="0"/>
              <w:bottom w:val="single" w:color="auto" w:sz="4" w:space="0"/>
              <w:right w:val="single" w:color="auto" w:sz="4" w:space="0"/>
            </w:tcBorders>
            <w:vAlign w:val="center"/>
          </w:tcPr>
          <w:p w14:paraId="1FF50F0E">
            <w:pPr>
              <w:jc w:val="center"/>
              <w:rPr>
                <w:rFonts w:ascii="宋体" w:hAnsi="宋体"/>
                <w:color w:val="auto"/>
                <w:highlight w:val="none"/>
              </w:rPr>
            </w:pPr>
            <w:r>
              <w:rPr>
                <w:rFonts w:ascii="宋体" w:hAnsi="宋体"/>
                <w:color w:val="auto"/>
                <w:highlight w:val="none"/>
              </w:rPr>
              <w:t>级别</w:t>
            </w:r>
          </w:p>
        </w:tc>
        <w:tc>
          <w:tcPr>
            <w:tcW w:w="555" w:type="pct"/>
            <w:tcBorders>
              <w:top w:val="single" w:color="auto" w:sz="4" w:space="0"/>
              <w:left w:val="single" w:color="auto" w:sz="4" w:space="0"/>
              <w:bottom w:val="single" w:color="auto" w:sz="4" w:space="0"/>
              <w:right w:val="single" w:color="auto" w:sz="4" w:space="0"/>
            </w:tcBorders>
            <w:vAlign w:val="center"/>
          </w:tcPr>
          <w:p w14:paraId="5B7C3ADF">
            <w:pPr>
              <w:jc w:val="center"/>
              <w:rPr>
                <w:rFonts w:ascii="宋体" w:hAnsi="宋体"/>
                <w:color w:val="auto"/>
                <w:highlight w:val="none"/>
              </w:rPr>
            </w:pPr>
            <w:r>
              <w:rPr>
                <w:rFonts w:ascii="宋体" w:hAnsi="宋体"/>
                <w:color w:val="auto"/>
                <w:highlight w:val="none"/>
              </w:rPr>
              <w:t>证号</w:t>
            </w:r>
          </w:p>
        </w:tc>
        <w:tc>
          <w:tcPr>
            <w:tcW w:w="1186" w:type="pct"/>
            <w:tcBorders>
              <w:top w:val="single" w:color="auto" w:sz="4" w:space="0"/>
              <w:left w:val="single" w:color="auto" w:sz="4" w:space="0"/>
              <w:bottom w:val="single" w:color="auto" w:sz="4" w:space="0"/>
              <w:right w:val="single" w:color="auto" w:sz="4" w:space="0"/>
            </w:tcBorders>
            <w:vAlign w:val="center"/>
          </w:tcPr>
          <w:p w14:paraId="62113638">
            <w:pPr>
              <w:jc w:val="center"/>
              <w:rPr>
                <w:rFonts w:ascii="宋体" w:hAnsi="宋体"/>
                <w:color w:val="auto"/>
                <w:highlight w:val="none"/>
              </w:rPr>
            </w:pPr>
            <w:r>
              <w:rPr>
                <w:rFonts w:ascii="宋体" w:hAnsi="宋体"/>
                <w:color w:val="auto"/>
                <w:highlight w:val="none"/>
              </w:rPr>
              <w:t>专业</w:t>
            </w:r>
          </w:p>
        </w:tc>
        <w:tc>
          <w:tcPr>
            <w:tcW w:w="483" w:type="pct"/>
            <w:vMerge w:val="continue"/>
            <w:tcBorders>
              <w:top w:val="single" w:color="auto" w:sz="4" w:space="0"/>
              <w:left w:val="single" w:color="auto" w:sz="4" w:space="0"/>
              <w:bottom w:val="single" w:color="auto" w:sz="4" w:space="0"/>
              <w:right w:val="single" w:color="auto" w:sz="4" w:space="0"/>
            </w:tcBorders>
            <w:vAlign w:val="center"/>
          </w:tcPr>
          <w:p w14:paraId="730FEB93">
            <w:pPr>
              <w:widowControl/>
              <w:jc w:val="left"/>
              <w:rPr>
                <w:color w:val="auto"/>
                <w:highlight w:val="none"/>
              </w:rPr>
            </w:pPr>
          </w:p>
        </w:tc>
      </w:tr>
      <w:tr w14:paraId="765FD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3118DE99">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4BC4262">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4E18101">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280B9FC8">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2A1C57AD">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17D0D5F">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159252CA">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6D8922DA">
            <w:pPr>
              <w:rPr>
                <w:color w:val="auto"/>
                <w:highlight w:val="none"/>
              </w:rPr>
            </w:pPr>
          </w:p>
        </w:tc>
      </w:tr>
      <w:tr w14:paraId="1D947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028B509B">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36A6DA4">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4156DC9">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4F751E2">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7EF71522">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218A6AE1">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607BE0DA">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3A8F02E8">
            <w:pPr>
              <w:rPr>
                <w:color w:val="auto"/>
                <w:highlight w:val="none"/>
              </w:rPr>
            </w:pPr>
          </w:p>
        </w:tc>
      </w:tr>
      <w:tr w14:paraId="42F3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41200D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C90BC20">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1DBFFFA2">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601A8A84">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3E20EE4C">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C2E73D3">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0FB86538">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1B502C6F">
            <w:pPr>
              <w:rPr>
                <w:color w:val="auto"/>
                <w:highlight w:val="none"/>
              </w:rPr>
            </w:pPr>
          </w:p>
        </w:tc>
      </w:tr>
      <w:tr w14:paraId="06274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35F74521">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E819DD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DA480ED">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6F1CFE0">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1BA7BD73">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EC0F2EF">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0AD52255">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515F0E7E">
            <w:pPr>
              <w:rPr>
                <w:color w:val="auto"/>
                <w:highlight w:val="none"/>
              </w:rPr>
            </w:pPr>
          </w:p>
        </w:tc>
      </w:tr>
      <w:tr w14:paraId="5B12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152A4D2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82DD52E">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D37BC2E">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415C4D43">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149F65C0">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17109DC">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04550A8D">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42F9530C">
            <w:pPr>
              <w:rPr>
                <w:color w:val="auto"/>
                <w:highlight w:val="none"/>
              </w:rPr>
            </w:pPr>
          </w:p>
        </w:tc>
      </w:tr>
      <w:tr w14:paraId="65A1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55A8268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572921E">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F4809B3">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726BBE6F">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3702EE51">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3404AF94">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35D32637">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19EE6375">
            <w:pPr>
              <w:rPr>
                <w:color w:val="auto"/>
                <w:highlight w:val="none"/>
              </w:rPr>
            </w:pPr>
          </w:p>
        </w:tc>
      </w:tr>
      <w:tr w14:paraId="74C5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29C77F9D">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0F2A4B0">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0FE035F7">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6CC51671">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00608BF1">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59C15932">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264DAFAB">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7DD43853">
            <w:pPr>
              <w:rPr>
                <w:color w:val="auto"/>
                <w:highlight w:val="none"/>
              </w:rPr>
            </w:pPr>
          </w:p>
        </w:tc>
      </w:tr>
      <w:tr w14:paraId="4621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69EFECFA">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AA5C452">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6DFFB42E">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3303A816">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5B13DA5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102BACE9">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2E203CCB">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78ADAF2D">
            <w:pPr>
              <w:rPr>
                <w:color w:val="auto"/>
                <w:highlight w:val="none"/>
              </w:rPr>
            </w:pPr>
          </w:p>
        </w:tc>
      </w:tr>
      <w:tr w14:paraId="00F86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555" w:type="pct"/>
            <w:tcBorders>
              <w:top w:val="single" w:color="auto" w:sz="4" w:space="0"/>
              <w:left w:val="single" w:color="auto" w:sz="4" w:space="0"/>
              <w:bottom w:val="single" w:color="auto" w:sz="4" w:space="0"/>
              <w:right w:val="single" w:color="auto" w:sz="4" w:space="0"/>
            </w:tcBorders>
            <w:vAlign w:val="center"/>
          </w:tcPr>
          <w:p w14:paraId="42F4B326">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2F91478">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460CE1C2">
            <w:pPr>
              <w:rPr>
                <w:color w:val="auto"/>
                <w:highlight w:val="none"/>
              </w:rPr>
            </w:pPr>
          </w:p>
        </w:tc>
        <w:tc>
          <w:tcPr>
            <w:tcW w:w="620" w:type="pct"/>
            <w:tcBorders>
              <w:top w:val="single" w:color="auto" w:sz="4" w:space="0"/>
              <w:left w:val="single" w:color="auto" w:sz="4" w:space="0"/>
              <w:bottom w:val="single" w:color="auto" w:sz="4" w:space="0"/>
              <w:right w:val="single" w:color="auto" w:sz="4" w:space="0"/>
            </w:tcBorders>
            <w:vAlign w:val="center"/>
          </w:tcPr>
          <w:p w14:paraId="3FA22CFE">
            <w:pPr>
              <w:rPr>
                <w:color w:val="auto"/>
                <w:highlight w:val="none"/>
              </w:rPr>
            </w:pPr>
          </w:p>
        </w:tc>
        <w:tc>
          <w:tcPr>
            <w:tcW w:w="489" w:type="pct"/>
            <w:tcBorders>
              <w:top w:val="single" w:color="auto" w:sz="4" w:space="0"/>
              <w:left w:val="single" w:color="auto" w:sz="4" w:space="0"/>
              <w:bottom w:val="single" w:color="auto" w:sz="4" w:space="0"/>
              <w:right w:val="single" w:color="auto" w:sz="4" w:space="0"/>
            </w:tcBorders>
            <w:vAlign w:val="center"/>
          </w:tcPr>
          <w:p w14:paraId="3553F800">
            <w:pPr>
              <w:rPr>
                <w:color w:val="auto"/>
                <w:highlight w:val="none"/>
              </w:rPr>
            </w:pPr>
          </w:p>
        </w:tc>
        <w:tc>
          <w:tcPr>
            <w:tcW w:w="555" w:type="pct"/>
            <w:tcBorders>
              <w:top w:val="single" w:color="auto" w:sz="4" w:space="0"/>
              <w:left w:val="single" w:color="auto" w:sz="4" w:space="0"/>
              <w:bottom w:val="single" w:color="auto" w:sz="4" w:space="0"/>
              <w:right w:val="single" w:color="auto" w:sz="4" w:space="0"/>
            </w:tcBorders>
            <w:vAlign w:val="center"/>
          </w:tcPr>
          <w:p w14:paraId="69D30624">
            <w:pPr>
              <w:rPr>
                <w:color w:val="auto"/>
                <w:highlight w:val="none"/>
              </w:rPr>
            </w:pPr>
          </w:p>
        </w:tc>
        <w:tc>
          <w:tcPr>
            <w:tcW w:w="1186" w:type="pct"/>
            <w:tcBorders>
              <w:top w:val="single" w:color="auto" w:sz="4" w:space="0"/>
              <w:left w:val="single" w:color="auto" w:sz="4" w:space="0"/>
              <w:bottom w:val="single" w:color="auto" w:sz="4" w:space="0"/>
              <w:right w:val="single" w:color="auto" w:sz="4" w:space="0"/>
            </w:tcBorders>
            <w:vAlign w:val="center"/>
          </w:tcPr>
          <w:p w14:paraId="15097532">
            <w:pPr>
              <w:rPr>
                <w:color w:val="auto"/>
                <w:highlight w:val="none"/>
              </w:rPr>
            </w:pPr>
          </w:p>
        </w:tc>
        <w:tc>
          <w:tcPr>
            <w:tcW w:w="483" w:type="pct"/>
            <w:tcBorders>
              <w:top w:val="single" w:color="auto" w:sz="4" w:space="0"/>
              <w:left w:val="single" w:color="auto" w:sz="4" w:space="0"/>
              <w:bottom w:val="single" w:color="auto" w:sz="4" w:space="0"/>
              <w:right w:val="single" w:color="auto" w:sz="4" w:space="0"/>
            </w:tcBorders>
            <w:vAlign w:val="center"/>
          </w:tcPr>
          <w:p w14:paraId="21C30FED">
            <w:pPr>
              <w:rPr>
                <w:color w:val="auto"/>
                <w:highlight w:val="none"/>
              </w:rPr>
            </w:pPr>
          </w:p>
        </w:tc>
      </w:tr>
    </w:tbl>
    <w:p w14:paraId="19739C0F">
      <w:pPr>
        <w:rPr>
          <w:color w:val="auto"/>
          <w:highlight w:val="none"/>
        </w:rPr>
      </w:pPr>
      <w:r>
        <w:rPr>
          <w:color w:val="auto"/>
          <w:highlight w:val="none"/>
        </w:rPr>
        <w:t xml:space="preserve"> </w:t>
      </w:r>
    </w:p>
    <w:p w14:paraId="5865D230">
      <w:pPr>
        <w:rPr>
          <w:color w:val="auto"/>
          <w:highlight w:val="none"/>
        </w:rPr>
      </w:pPr>
      <w:r>
        <w:rPr>
          <w:color w:val="auto"/>
          <w:highlight w:val="none"/>
        </w:rPr>
        <w:t xml:space="preserve"> </w:t>
      </w:r>
    </w:p>
    <w:p w14:paraId="149393D2">
      <w:pPr>
        <w:spacing w:line="520" w:lineRule="exact"/>
        <w:ind w:firstLine="567" w:firstLineChars="270"/>
        <w:jc w:val="center"/>
        <w:rPr>
          <w:rFonts w:hint="eastAsia" w:ascii="宋体" w:hAnsi="宋体"/>
          <w:color w:val="auto"/>
          <w:highlight w:val="none"/>
        </w:rPr>
      </w:pPr>
      <w:r>
        <w:rPr>
          <w:rFonts w:hint="eastAsia" w:ascii="宋体" w:hAnsi="宋体"/>
          <w:color w:val="auto"/>
          <w:highlight w:val="none"/>
        </w:rPr>
        <w:t xml:space="preserve">                         </w:t>
      </w:r>
      <w:r>
        <w:rPr>
          <w:rFonts w:hint="eastAsia" w:ascii="宋体" w:hAnsi="宋体"/>
          <w:color w:val="auto"/>
          <w:sz w:val="24"/>
          <w:highlight w:val="none"/>
        </w:rPr>
        <w:t xml:space="preserve">  供应商：</w:t>
      </w:r>
      <w:r>
        <w:rPr>
          <w:rFonts w:hint="eastAsia" w:ascii="宋体" w:hAnsi="宋体"/>
          <w:b/>
          <w:bCs/>
          <w:color w:val="auto"/>
          <w:sz w:val="24"/>
          <w:highlight w:val="none"/>
          <w:u w:val="single"/>
        </w:rPr>
        <w:t xml:space="preserve">                </w:t>
      </w:r>
      <w:r>
        <w:rPr>
          <w:rFonts w:hint="eastAsia" w:ascii="宋体" w:hAnsi="宋体"/>
          <w:color w:val="auto"/>
          <w:sz w:val="24"/>
          <w:highlight w:val="none"/>
        </w:rPr>
        <w:t>（</w:t>
      </w:r>
      <w:r>
        <w:rPr>
          <w:rFonts w:hint="eastAsia" w:ascii="宋体" w:hAnsi="宋体"/>
          <w:bCs/>
          <w:color w:val="auto"/>
          <w:sz w:val="24"/>
          <w:highlight w:val="none"/>
        </w:rPr>
        <w:t>电子签章</w:t>
      </w:r>
      <w:r>
        <w:rPr>
          <w:rFonts w:hint="eastAsia" w:ascii="宋体" w:hAnsi="宋体"/>
          <w:color w:val="auto"/>
          <w:sz w:val="24"/>
          <w:highlight w:val="none"/>
        </w:rPr>
        <w:t>）</w:t>
      </w:r>
    </w:p>
    <w:p w14:paraId="7A4DE11D">
      <w:pPr>
        <w:spacing w:line="520" w:lineRule="exact"/>
        <w:ind w:firstLine="595" w:firstLineChars="248"/>
        <w:jc w:val="right"/>
        <w:rPr>
          <w:rFonts w:hint="eastAsia" w:ascii="宋体" w:hAnsi="宋体"/>
          <w:color w:val="auto"/>
          <w:sz w:val="24"/>
          <w:highlight w:val="none"/>
        </w:rPr>
      </w:pPr>
      <w:r>
        <w:rPr>
          <w:rFonts w:hint="eastAsia" w:ascii="宋体" w:hAnsi="宋体"/>
          <w:color w:val="auto"/>
          <w:sz w:val="24"/>
          <w:highlight w:val="none"/>
        </w:rPr>
        <w:t xml:space="preserve">  </w:t>
      </w:r>
    </w:p>
    <w:p w14:paraId="277DB13D">
      <w:pPr>
        <w:spacing w:line="520" w:lineRule="exact"/>
        <w:ind w:firstLine="595" w:firstLineChars="248"/>
        <w:jc w:val="right"/>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70A64737">
      <w:pPr>
        <w:spacing w:line="520" w:lineRule="exact"/>
        <w:ind w:firstLine="4560" w:firstLineChars="1900"/>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50A6655E">
      <w:pPr>
        <w:pStyle w:val="52"/>
        <w:ind w:left="0" w:leftChars="0" w:firstLine="0" w:firstLineChars="0"/>
        <w:rPr>
          <w:color w:val="auto"/>
          <w:highlight w:val="none"/>
        </w:rPr>
      </w:pPr>
    </w:p>
    <w:p w14:paraId="4C9884DB">
      <w:pPr>
        <w:pStyle w:val="22"/>
        <w:autoSpaceDE w:val="0"/>
        <w:spacing w:after="312"/>
        <w:jc w:val="center"/>
        <w:rPr>
          <w:rFonts w:hint="eastAsia" w:ascii="宋体" w:hAnsi="宋体" w:eastAsia="宋体"/>
          <w:b w:val="0"/>
          <w:bCs w:val="0"/>
          <w:color w:val="auto"/>
          <w:kern w:val="2"/>
          <w:sz w:val="24"/>
          <w:szCs w:val="24"/>
          <w:highlight w:val="none"/>
        </w:rPr>
      </w:pPr>
      <w:bookmarkStart w:id="330" w:name="_Toc26946"/>
      <w:bookmarkEnd w:id="330"/>
      <w:r>
        <w:rPr>
          <w:rFonts w:hint="eastAsia" w:ascii="宋体" w:hAnsi="宋体" w:eastAsia="宋体"/>
          <w:b w:val="0"/>
          <w:bCs w:val="0"/>
          <w:color w:val="auto"/>
          <w:kern w:val="2"/>
          <w:sz w:val="24"/>
          <w:szCs w:val="24"/>
          <w:highlight w:val="none"/>
        </w:rPr>
        <w:t>（二）项目负责人简历表</w:t>
      </w:r>
    </w:p>
    <w:p w14:paraId="79616B33">
      <w:pPr>
        <w:rPr>
          <w:b/>
          <w:bCs/>
          <w:color w:val="auto"/>
          <w:highlight w:val="none"/>
        </w:rPr>
      </w:pPr>
      <w:r>
        <w:rPr>
          <w:b/>
          <w:bCs/>
          <w:color w:val="auto"/>
          <w:highlight w:val="none"/>
        </w:rPr>
        <w:t xml:space="preserve"> </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79"/>
        <w:gridCol w:w="1929"/>
        <w:gridCol w:w="1095"/>
        <w:gridCol w:w="917"/>
        <w:gridCol w:w="544"/>
        <w:gridCol w:w="1275"/>
        <w:gridCol w:w="735"/>
        <w:gridCol w:w="1822"/>
      </w:tblGrid>
      <w:tr w14:paraId="73B1F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05D30EF7">
            <w:pPr>
              <w:jc w:val="center"/>
              <w:rPr>
                <w:rFonts w:ascii="宋体" w:hAnsi="宋体"/>
                <w:color w:val="auto"/>
                <w:highlight w:val="none"/>
              </w:rPr>
            </w:pPr>
            <w:r>
              <w:rPr>
                <w:rFonts w:ascii="宋体" w:hAnsi="宋体"/>
                <w:color w:val="auto"/>
                <w:highlight w:val="none"/>
              </w:rPr>
              <w:t>姓名</w:t>
            </w:r>
          </w:p>
        </w:tc>
        <w:tc>
          <w:tcPr>
            <w:tcW w:w="997" w:type="pct"/>
            <w:tcBorders>
              <w:top w:val="single" w:color="auto" w:sz="4" w:space="0"/>
              <w:left w:val="single" w:color="auto" w:sz="4" w:space="0"/>
              <w:bottom w:val="single" w:color="auto" w:sz="4" w:space="0"/>
              <w:right w:val="single" w:color="auto" w:sz="4" w:space="0"/>
            </w:tcBorders>
            <w:vAlign w:val="top"/>
          </w:tcPr>
          <w:p w14:paraId="41DBE769">
            <w:pPr>
              <w:rPr>
                <w:color w:val="auto"/>
                <w:highlight w:val="none"/>
              </w:rPr>
            </w:pPr>
          </w:p>
        </w:tc>
        <w:tc>
          <w:tcPr>
            <w:tcW w:w="566" w:type="pct"/>
            <w:tcBorders>
              <w:top w:val="single" w:color="auto" w:sz="4" w:space="0"/>
              <w:left w:val="single" w:color="auto" w:sz="4" w:space="0"/>
              <w:bottom w:val="single" w:color="auto" w:sz="4" w:space="0"/>
              <w:right w:val="single" w:color="auto" w:sz="4" w:space="0"/>
            </w:tcBorders>
            <w:vAlign w:val="center"/>
          </w:tcPr>
          <w:p w14:paraId="7B403809">
            <w:pPr>
              <w:jc w:val="center"/>
              <w:rPr>
                <w:rFonts w:ascii="宋体" w:hAnsi="宋体"/>
                <w:color w:val="auto"/>
                <w:highlight w:val="none"/>
              </w:rPr>
            </w:pPr>
            <w:r>
              <w:rPr>
                <w:rFonts w:ascii="宋体" w:hAnsi="宋体"/>
                <w:color w:val="auto"/>
                <w:highlight w:val="none"/>
              </w:rPr>
              <w:t>年龄</w:t>
            </w:r>
          </w:p>
        </w:tc>
        <w:tc>
          <w:tcPr>
            <w:tcW w:w="755" w:type="pct"/>
            <w:gridSpan w:val="2"/>
            <w:tcBorders>
              <w:top w:val="single" w:color="auto" w:sz="4" w:space="0"/>
              <w:left w:val="single" w:color="auto" w:sz="4" w:space="0"/>
              <w:bottom w:val="single" w:color="auto" w:sz="4" w:space="0"/>
              <w:right w:val="single" w:color="auto" w:sz="4" w:space="0"/>
            </w:tcBorders>
            <w:vAlign w:val="top"/>
          </w:tcPr>
          <w:p w14:paraId="523098B8">
            <w:pPr>
              <w:rPr>
                <w:color w:val="auto"/>
                <w:highlight w:val="none"/>
              </w:rPr>
            </w:pPr>
          </w:p>
        </w:tc>
        <w:tc>
          <w:tcPr>
            <w:tcW w:w="1039" w:type="pct"/>
            <w:gridSpan w:val="2"/>
            <w:tcBorders>
              <w:top w:val="single" w:color="auto" w:sz="4" w:space="0"/>
              <w:left w:val="single" w:color="auto" w:sz="4" w:space="0"/>
              <w:bottom w:val="single" w:color="auto" w:sz="4" w:space="0"/>
              <w:right w:val="single" w:color="auto" w:sz="4" w:space="0"/>
            </w:tcBorders>
            <w:vAlign w:val="center"/>
          </w:tcPr>
          <w:p w14:paraId="07DC6ADE">
            <w:pPr>
              <w:jc w:val="center"/>
              <w:rPr>
                <w:rFonts w:ascii="宋体" w:hAnsi="宋体"/>
                <w:color w:val="auto"/>
                <w:highlight w:val="none"/>
              </w:rPr>
            </w:pPr>
            <w:r>
              <w:rPr>
                <w:rFonts w:ascii="宋体" w:hAnsi="宋体"/>
                <w:color w:val="auto"/>
                <w:highlight w:val="none"/>
              </w:rPr>
              <w:t>学历</w:t>
            </w:r>
          </w:p>
        </w:tc>
        <w:tc>
          <w:tcPr>
            <w:tcW w:w="938" w:type="pct"/>
            <w:tcBorders>
              <w:top w:val="single" w:color="auto" w:sz="4" w:space="0"/>
              <w:left w:val="single" w:color="auto" w:sz="4" w:space="0"/>
              <w:bottom w:val="single" w:color="auto" w:sz="4" w:space="0"/>
              <w:right w:val="single" w:color="auto" w:sz="4" w:space="0"/>
            </w:tcBorders>
            <w:vAlign w:val="top"/>
          </w:tcPr>
          <w:p w14:paraId="335B74E8">
            <w:pPr>
              <w:rPr>
                <w:color w:val="auto"/>
                <w:highlight w:val="none"/>
              </w:rPr>
            </w:pPr>
          </w:p>
        </w:tc>
      </w:tr>
      <w:tr w14:paraId="3483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5D5B6D41">
            <w:pPr>
              <w:jc w:val="center"/>
              <w:rPr>
                <w:rFonts w:ascii="宋体" w:hAnsi="宋体"/>
                <w:color w:val="auto"/>
                <w:highlight w:val="none"/>
              </w:rPr>
            </w:pPr>
            <w:r>
              <w:rPr>
                <w:rFonts w:ascii="宋体" w:hAnsi="宋体"/>
                <w:color w:val="auto"/>
                <w:highlight w:val="none"/>
              </w:rPr>
              <w:t>职称</w:t>
            </w:r>
          </w:p>
        </w:tc>
        <w:tc>
          <w:tcPr>
            <w:tcW w:w="997" w:type="pct"/>
            <w:tcBorders>
              <w:top w:val="single" w:color="auto" w:sz="4" w:space="0"/>
              <w:left w:val="single" w:color="auto" w:sz="4" w:space="0"/>
              <w:bottom w:val="single" w:color="auto" w:sz="4" w:space="0"/>
              <w:right w:val="single" w:color="auto" w:sz="4" w:space="0"/>
            </w:tcBorders>
            <w:vAlign w:val="top"/>
          </w:tcPr>
          <w:p w14:paraId="03161F8B">
            <w:pPr>
              <w:rPr>
                <w:color w:val="auto"/>
                <w:highlight w:val="none"/>
              </w:rPr>
            </w:pPr>
          </w:p>
        </w:tc>
        <w:tc>
          <w:tcPr>
            <w:tcW w:w="566" w:type="pct"/>
            <w:tcBorders>
              <w:top w:val="single" w:color="auto" w:sz="4" w:space="0"/>
              <w:left w:val="single" w:color="auto" w:sz="4" w:space="0"/>
              <w:bottom w:val="single" w:color="auto" w:sz="4" w:space="0"/>
              <w:right w:val="single" w:color="auto" w:sz="4" w:space="0"/>
            </w:tcBorders>
            <w:vAlign w:val="center"/>
          </w:tcPr>
          <w:p w14:paraId="4B6592D5">
            <w:pPr>
              <w:jc w:val="center"/>
              <w:rPr>
                <w:rFonts w:ascii="宋体" w:hAnsi="宋体"/>
                <w:color w:val="auto"/>
                <w:highlight w:val="none"/>
              </w:rPr>
            </w:pPr>
            <w:r>
              <w:rPr>
                <w:rFonts w:ascii="宋体" w:hAnsi="宋体"/>
                <w:color w:val="auto"/>
                <w:highlight w:val="none"/>
              </w:rPr>
              <w:t>职务</w:t>
            </w:r>
          </w:p>
        </w:tc>
        <w:tc>
          <w:tcPr>
            <w:tcW w:w="755" w:type="pct"/>
            <w:gridSpan w:val="2"/>
            <w:tcBorders>
              <w:top w:val="single" w:color="auto" w:sz="4" w:space="0"/>
              <w:left w:val="single" w:color="auto" w:sz="4" w:space="0"/>
              <w:bottom w:val="single" w:color="auto" w:sz="4" w:space="0"/>
              <w:right w:val="single" w:color="auto" w:sz="4" w:space="0"/>
            </w:tcBorders>
            <w:vAlign w:val="top"/>
          </w:tcPr>
          <w:p w14:paraId="1DCBDBF0">
            <w:pPr>
              <w:rPr>
                <w:color w:val="auto"/>
                <w:highlight w:val="none"/>
              </w:rPr>
            </w:pPr>
          </w:p>
        </w:tc>
        <w:tc>
          <w:tcPr>
            <w:tcW w:w="1039" w:type="pct"/>
            <w:gridSpan w:val="2"/>
            <w:tcBorders>
              <w:top w:val="single" w:color="auto" w:sz="4" w:space="0"/>
              <w:left w:val="single" w:color="auto" w:sz="4" w:space="0"/>
              <w:bottom w:val="single" w:color="auto" w:sz="4" w:space="0"/>
              <w:right w:val="single" w:color="auto" w:sz="4" w:space="0"/>
            </w:tcBorders>
            <w:vAlign w:val="center"/>
          </w:tcPr>
          <w:p w14:paraId="3481FAF3">
            <w:pPr>
              <w:jc w:val="center"/>
              <w:rPr>
                <w:rFonts w:ascii="宋体" w:hAnsi="宋体"/>
                <w:color w:val="auto"/>
                <w:highlight w:val="none"/>
              </w:rPr>
            </w:pPr>
            <w:r>
              <w:rPr>
                <w:rFonts w:ascii="宋体" w:hAnsi="宋体"/>
                <w:color w:val="auto"/>
                <w:highlight w:val="none"/>
              </w:rPr>
              <w:t>拟在本项目任职</w:t>
            </w:r>
          </w:p>
        </w:tc>
        <w:tc>
          <w:tcPr>
            <w:tcW w:w="938" w:type="pct"/>
            <w:tcBorders>
              <w:top w:val="single" w:color="auto" w:sz="4" w:space="0"/>
              <w:left w:val="single" w:color="auto" w:sz="4" w:space="0"/>
              <w:bottom w:val="single" w:color="auto" w:sz="4" w:space="0"/>
              <w:right w:val="single" w:color="auto" w:sz="4" w:space="0"/>
            </w:tcBorders>
            <w:vAlign w:val="top"/>
          </w:tcPr>
          <w:p w14:paraId="7D9D405F">
            <w:pPr>
              <w:rPr>
                <w:color w:val="auto"/>
                <w:highlight w:val="none"/>
              </w:rPr>
            </w:pPr>
          </w:p>
        </w:tc>
      </w:tr>
      <w:tr w14:paraId="0470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1" w:type="pct"/>
            <w:gridSpan w:val="2"/>
            <w:tcBorders>
              <w:top w:val="single" w:color="auto" w:sz="4" w:space="0"/>
              <w:left w:val="single" w:color="auto" w:sz="4" w:space="0"/>
              <w:bottom w:val="single" w:color="auto" w:sz="4" w:space="0"/>
              <w:right w:val="single" w:color="auto" w:sz="4" w:space="0"/>
            </w:tcBorders>
            <w:vAlign w:val="center"/>
          </w:tcPr>
          <w:p w14:paraId="5173DC77">
            <w:pPr>
              <w:jc w:val="center"/>
              <w:rPr>
                <w:rFonts w:ascii="宋体" w:hAnsi="宋体"/>
                <w:color w:val="auto"/>
                <w:highlight w:val="none"/>
              </w:rPr>
            </w:pPr>
            <w:r>
              <w:rPr>
                <w:rFonts w:ascii="宋体" w:hAnsi="宋体"/>
                <w:color w:val="auto"/>
                <w:highlight w:val="none"/>
              </w:rPr>
              <w:t>毕业学校</w:t>
            </w:r>
          </w:p>
        </w:tc>
        <w:tc>
          <w:tcPr>
            <w:tcW w:w="4298" w:type="pct"/>
            <w:gridSpan w:val="7"/>
            <w:tcBorders>
              <w:top w:val="single" w:color="auto" w:sz="4" w:space="0"/>
              <w:left w:val="single" w:color="auto" w:sz="4" w:space="0"/>
              <w:bottom w:val="single" w:color="auto" w:sz="4" w:space="0"/>
              <w:right w:val="single" w:color="auto" w:sz="4" w:space="0"/>
            </w:tcBorders>
            <w:vAlign w:val="center"/>
          </w:tcPr>
          <w:p w14:paraId="408F239C">
            <w:pPr>
              <w:ind w:firstLine="840" w:firstLineChars="400"/>
              <w:rPr>
                <w:rFonts w:ascii="宋体" w:hAnsi="宋体"/>
                <w:color w:val="auto"/>
                <w:highlight w:val="none"/>
              </w:rPr>
            </w:pPr>
            <w:r>
              <w:rPr>
                <w:rFonts w:ascii="宋体" w:hAnsi="宋体"/>
                <w:color w:val="auto"/>
                <w:highlight w:val="none"/>
              </w:rPr>
              <w:t>年毕业于学校专业</w:t>
            </w:r>
          </w:p>
        </w:tc>
      </w:tr>
      <w:tr w14:paraId="2787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000" w:type="pct"/>
            <w:gridSpan w:val="9"/>
            <w:tcBorders>
              <w:top w:val="single" w:color="auto" w:sz="4" w:space="0"/>
              <w:left w:val="single" w:color="auto" w:sz="4" w:space="0"/>
              <w:bottom w:val="single" w:color="auto" w:sz="4" w:space="0"/>
              <w:right w:val="single" w:color="auto" w:sz="4" w:space="0"/>
            </w:tcBorders>
            <w:vAlign w:val="center"/>
          </w:tcPr>
          <w:p w14:paraId="0C3444DF">
            <w:pPr>
              <w:jc w:val="center"/>
              <w:rPr>
                <w:rFonts w:ascii="宋体" w:hAnsi="宋体"/>
                <w:color w:val="auto"/>
                <w:highlight w:val="none"/>
              </w:rPr>
            </w:pPr>
            <w:r>
              <w:rPr>
                <w:rFonts w:ascii="宋体" w:hAnsi="宋体"/>
                <w:color w:val="auto"/>
                <w:highlight w:val="none"/>
              </w:rPr>
              <w:t>主要工作经历</w:t>
            </w:r>
          </w:p>
        </w:tc>
      </w:tr>
      <w:tr w14:paraId="73B5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65A303E7">
            <w:pPr>
              <w:jc w:val="center"/>
              <w:rPr>
                <w:rFonts w:ascii="宋体" w:hAnsi="宋体"/>
                <w:color w:val="auto"/>
                <w:highlight w:val="none"/>
              </w:rPr>
            </w:pPr>
            <w:r>
              <w:rPr>
                <w:rFonts w:ascii="宋体" w:hAnsi="宋体"/>
                <w:color w:val="auto"/>
                <w:highlight w:val="none"/>
              </w:rPr>
              <w:t>时间</w:t>
            </w:r>
          </w:p>
        </w:tc>
        <w:tc>
          <w:tcPr>
            <w:tcW w:w="2078" w:type="pct"/>
            <w:gridSpan w:val="4"/>
            <w:tcBorders>
              <w:top w:val="single" w:color="auto" w:sz="4" w:space="0"/>
              <w:left w:val="single" w:color="auto" w:sz="4" w:space="0"/>
              <w:bottom w:val="single" w:color="auto" w:sz="4" w:space="0"/>
              <w:right w:val="single" w:color="auto" w:sz="4" w:space="0"/>
            </w:tcBorders>
            <w:vAlign w:val="center"/>
          </w:tcPr>
          <w:p w14:paraId="7F646BD0">
            <w:pPr>
              <w:jc w:val="center"/>
              <w:rPr>
                <w:rFonts w:ascii="宋体" w:hAnsi="宋体"/>
                <w:color w:val="auto"/>
                <w:highlight w:val="none"/>
              </w:rPr>
            </w:pPr>
            <w:r>
              <w:rPr>
                <w:rFonts w:ascii="宋体" w:hAnsi="宋体"/>
                <w:color w:val="auto"/>
                <w:highlight w:val="none"/>
              </w:rPr>
              <w:t>参加过的类似项目</w:t>
            </w:r>
          </w:p>
        </w:tc>
        <w:tc>
          <w:tcPr>
            <w:tcW w:w="940" w:type="pct"/>
            <w:gridSpan w:val="2"/>
            <w:tcBorders>
              <w:top w:val="single" w:color="auto" w:sz="4" w:space="0"/>
              <w:left w:val="single" w:color="auto" w:sz="4" w:space="0"/>
              <w:bottom w:val="single" w:color="auto" w:sz="4" w:space="0"/>
              <w:right w:val="single" w:color="auto" w:sz="4" w:space="0"/>
            </w:tcBorders>
            <w:vAlign w:val="center"/>
          </w:tcPr>
          <w:p w14:paraId="01E07B6B">
            <w:pPr>
              <w:jc w:val="center"/>
              <w:rPr>
                <w:rFonts w:ascii="宋体" w:hAnsi="宋体"/>
                <w:color w:val="auto"/>
                <w:highlight w:val="none"/>
              </w:rPr>
            </w:pPr>
            <w:r>
              <w:rPr>
                <w:rFonts w:ascii="宋体" w:hAnsi="宋体"/>
                <w:color w:val="auto"/>
                <w:highlight w:val="none"/>
              </w:rPr>
              <w:t>担任职务</w:t>
            </w:r>
          </w:p>
        </w:tc>
        <w:tc>
          <w:tcPr>
            <w:tcW w:w="1321" w:type="pct"/>
            <w:gridSpan w:val="2"/>
            <w:tcBorders>
              <w:top w:val="single" w:color="auto" w:sz="4" w:space="0"/>
              <w:left w:val="single" w:color="auto" w:sz="4" w:space="0"/>
              <w:bottom w:val="single" w:color="auto" w:sz="4" w:space="0"/>
              <w:right w:val="single" w:color="auto" w:sz="4" w:space="0"/>
            </w:tcBorders>
            <w:vAlign w:val="center"/>
          </w:tcPr>
          <w:p w14:paraId="0D6BED98">
            <w:pPr>
              <w:jc w:val="center"/>
              <w:rPr>
                <w:rFonts w:ascii="宋体" w:hAnsi="宋体"/>
                <w:color w:val="auto"/>
                <w:highlight w:val="none"/>
              </w:rPr>
            </w:pPr>
            <w:r>
              <w:rPr>
                <w:rFonts w:ascii="宋体" w:hAnsi="宋体"/>
                <w:color w:val="auto"/>
                <w:highlight w:val="none"/>
              </w:rPr>
              <w:t>发包人及联系电话</w:t>
            </w:r>
          </w:p>
        </w:tc>
      </w:tr>
      <w:tr w14:paraId="731A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70F27505">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7976EF20">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3B944505">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1EDB0F6C">
            <w:pPr>
              <w:rPr>
                <w:color w:val="auto"/>
                <w:highlight w:val="none"/>
              </w:rPr>
            </w:pPr>
          </w:p>
        </w:tc>
      </w:tr>
      <w:tr w14:paraId="6582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7601DDBB">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356F02CA">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24F020E">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2B643078">
            <w:pPr>
              <w:rPr>
                <w:color w:val="auto"/>
                <w:highlight w:val="none"/>
              </w:rPr>
            </w:pPr>
          </w:p>
        </w:tc>
      </w:tr>
      <w:tr w14:paraId="4275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164DDED">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6B4670C6">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6008845">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F916289">
            <w:pPr>
              <w:rPr>
                <w:color w:val="auto"/>
                <w:highlight w:val="none"/>
              </w:rPr>
            </w:pPr>
          </w:p>
        </w:tc>
      </w:tr>
      <w:tr w14:paraId="4972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6445069">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7E0AFD53">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7F13EA9C">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7FBB7BAC">
            <w:pPr>
              <w:rPr>
                <w:color w:val="auto"/>
                <w:highlight w:val="none"/>
              </w:rPr>
            </w:pPr>
          </w:p>
        </w:tc>
      </w:tr>
      <w:tr w14:paraId="0B47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56A8A878">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0DC293B">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508FC7A1">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742C9C9E">
            <w:pPr>
              <w:rPr>
                <w:color w:val="auto"/>
                <w:highlight w:val="none"/>
              </w:rPr>
            </w:pPr>
          </w:p>
        </w:tc>
      </w:tr>
      <w:tr w14:paraId="1581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13EB07E">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E50312E">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23F66C61">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4846E2CE">
            <w:pPr>
              <w:rPr>
                <w:color w:val="auto"/>
                <w:highlight w:val="none"/>
              </w:rPr>
            </w:pPr>
          </w:p>
        </w:tc>
      </w:tr>
      <w:tr w14:paraId="1AC5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B11F852">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23D4197">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49298471">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55681BF">
            <w:pPr>
              <w:rPr>
                <w:color w:val="auto"/>
                <w:highlight w:val="none"/>
              </w:rPr>
            </w:pPr>
          </w:p>
        </w:tc>
      </w:tr>
      <w:tr w14:paraId="2AED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DC42274">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A75E2A3">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567AF760">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D3ACF40">
            <w:pPr>
              <w:rPr>
                <w:color w:val="auto"/>
                <w:highlight w:val="none"/>
              </w:rPr>
            </w:pPr>
          </w:p>
        </w:tc>
      </w:tr>
      <w:tr w14:paraId="7130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8ABDF7E">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3EFDF092">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308E2A4F">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53F4441">
            <w:pPr>
              <w:rPr>
                <w:color w:val="auto"/>
                <w:highlight w:val="none"/>
              </w:rPr>
            </w:pPr>
          </w:p>
        </w:tc>
      </w:tr>
      <w:tr w14:paraId="07BD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C5F39FF">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5A1DD056">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07C756B0">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55B4A9CE">
            <w:pPr>
              <w:rPr>
                <w:color w:val="auto"/>
                <w:highlight w:val="none"/>
              </w:rPr>
            </w:pPr>
          </w:p>
        </w:tc>
      </w:tr>
      <w:tr w14:paraId="3A22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46E35374">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B44A487">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39D06BD0">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51E2D5E6">
            <w:pPr>
              <w:rPr>
                <w:color w:val="auto"/>
                <w:highlight w:val="none"/>
              </w:rPr>
            </w:pPr>
          </w:p>
        </w:tc>
      </w:tr>
      <w:tr w14:paraId="633C4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67F772B9">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445CD5E3">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3F3AAE74">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ED97754">
            <w:pPr>
              <w:rPr>
                <w:color w:val="auto"/>
                <w:highlight w:val="none"/>
              </w:rPr>
            </w:pPr>
          </w:p>
        </w:tc>
      </w:tr>
      <w:tr w14:paraId="5DC4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0" w:type="pct"/>
            <w:tcBorders>
              <w:top w:val="single" w:color="auto" w:sz="4" w:space="0"/>
              <w:left w:val="single" w:color="auto" w:sz="4" w:space="0"/>
              <w:bottom w:val="single" w:color="auto" w:sz="4" w:space="0"/>
              <w:right w:val="single" w:color="auto" w:sz="4" w:space="0"/>
            </w:tcBorders>
            <w:vAlign w:val="top"/>
          </w:tcPr>
          <w:p w14:paraId="0894921A">
            <w:pPr>
              <w:rPr>
                <w:color w:val="auto"/>
                <w:highlight w:val="none"/>
              </w:rPr>
            </w:pPr>
          </w:p>
        </w:tc>
        <w:tc>
          <w:tcPr>
            <w:tcW w:w="2078" w:type="pct"/>
            <w:gridSpan w:val="4"/>
            <w:tcBorders>
              <w:top w:val="single" w:color="auto" w:sz="4" w:space="0"/>
              <w:left w:val="single" w:color="auto" w:sz="4" w:space="0"/>
              <w:bottom w:val="single" w:color="auto" w:sz="4" w:space="0"/>
              <w:right w:val="single" w:color="auto" w:sz="4" w:space="0"/>
            </w:tcBorders>
            <w:vAlign w:val="top"/>
          </w:tcPr>
          <w:p w14:paraId="78F6E95D">
            <w:pPr>
              <w:rPr>
                <w:color w:val="auto"/>
                <w:highlight w:val="none"/>
              </w:rPr>
            </w:pPr>
          </w:p>
        </w:tc>
        <w:tc>
          <w:tcPr>
            <w:tcW w:w="940" w:type="pct"/>
            <w:gridSpan w:val="2"/>
            <w:tcBorders>
              <w:top w:val="single" w:color="auto" w:sz="4" w:space="0"/>
              <w:left w:val="single" w:color="auto" w:sz="4" w:space="0"/>
              <w:bottom w:val="single" w:color="auto" w:sz="4" w:space="0"/>
              <w:right w:val="single" w:color="auto" w:sz="4" w:space="0"/>
            </w:tcBorders>
            <w:vAlign w:val="top"/>
          </w:tcPr>
          <w:p w14:paraId="57747195">
            <w:pPr>
              <w:rPr>
                <w:color w:val="auto"/>
                <w:highlight w:val="none"/>
              </w:rPr>
            </w:pPr>
          </w:p>
        </w:tc>
        <w:tc>
          <w:tcPr>
            <w:tcW w:w="1321" w:type="pct"/>
            <w:gridSpan w:val="2"/>
            <w:tcBorders>
              <w:top w:val="single" w:color="auto" w:sz="4" w:space="0"/>
              <w:left w:val="single" w:color="auto" w:sz="4" w:space="0"/>
              <w:bottom w:val="single" w:color="auto" w:sz="4" w:space="0"/>
              <w:right w:val="single" w:color="auto" w:sz="4" w:space="0"/>
            </w:tcBorders>
            <w:vAlign w:val="top"/>
          </w:tcPr>
          <w:p w14:paraId="6F0E8B06">
            <w:pPr>
              <w:rPr>
                <w:color w:val="auto"/>
                <w:highlight w:val="none"/>
              </w:rPr>
            </w:pPr>
          </w:p>
        </w:tc>
      </w:tr>
    </w:tbl>
    <w:p w14:paraId="3A02C719">
      <w:pPr>
        <w:rPr>
          <w:color w:val="auto"/>
          <w:highlight w:val="none"/>
        </w:rPr>
      </w:pPr>
      <w:r>
        <w:rPr>
          <w:color w:val="auto"/>
          <w:highlight w:val="none"/>
        </w:rPr>
        <w:t xml:space="preserve"> </w:t>
      </w:r>
    </w:p>
    <w:p w14:paraId="1702AC78">
      <w:pPr>
        <w:spacing w:line="540" w:lineRule="exact"/>
        <w:rPr>
          <w:rFonts w:hint="eastAsia" w:ascii="仿宋" w:hAnsi="仿宋" w:eastAsia="仿宋"/>
          <w:color w:val="auto"/>
          <w:sz w:val="24"/>
          <w:highlight w:val="none"/>
        </w:rPr>
      </w:pPr>
      <w:r>
        <w:rPr>
          <w:rFonts w:hint="eastAsia" w:ascii="仿宋" w:hAnsi="仿宋" w:eastAsia="仿宋"/>
          <w:color w:val="auto"/>
          <w:sz w:val="24"/>
          <w:highlight w:val="none"/>
        </w:rPr>
        <w:t>后附证明材料</w:t>
      </w:r>
    </w:p>
    <w:p w14:paraId="6AC1B1CF">
      <w:pPr>
        <w:rPr>
          <w:color w:val="auto"/>
          <w:highlight w:val="none"/>
        </w:rPr>
      </w:pPr>
    </w:p>
    <w:p w14:paraId="37D59F15">
      <w:pPr>
        <w:rPr>
          <w:color w:val="auto"/>
          <w:highlight w:val="none"/>
        </w:rPr>
      </w:pPr>
      <w:r>
        <w:rPr>
          <w:color w:val="auto"/>
          <w:highlight w:val="none"/>
        </w:rPr>
        <w:t xml:space="preserve"> </w:t>
      </w:r>
    </w:p>
    <w:p w14:paraId="38462E4E">
      <w:pPr>
        <w:rPr>
          <w:color w:val="auto"/>
          <w:highlight w:val="none"/>
        </w:rPr>
      </w:pPr>
      <w:r>
        <w:rPr>
          <w:color w:val="auto"/>
          <w:highlight w:val="none"/>
        </w:rPr>
        <w:t xml:space="preserve"> </w:t>
      </w:r>
    </w:p>
    <w:p w14:paraId="0E850686">
      <w:pPr>
        <w:rPr>
          <w:color w:val="auto"/>
          <w:highlight w:val="none"/>
        </w:rPr>
      </w:pPr>
      <w:r>
        <w:rPr>
          <w:color w:val="auto"/>
          <w:highlight w:val="none"/>
        </w:rPr>
        <w:t xml:space="preserve"> </w:t>
      </w:r>
      <w:bookmarkStart w:id="331" w:name="_Toc7722"/>
      <w:bookmarkEnd w:id="331"/>
      <w:r>
        <w:rPr>
          <w:rFonts w:hint="eastAsia"/>
          <w:color w:val="auto"/>
          <w:highlight w:val="none"/>
          <w:shd w:val="clear" w:color="auto" w:fill="FFFFFF"/>
        </w:rPr>
        <w:t xml:space="preserve"> </w:t>
      </w:r>
    </w:p>
    <w:p w14:paraId="2805FF3D">
      <w:pPr>
        <w:pStyle w:val="21"/>
        <w:spacing w:before="0" w:after="0" w:line="520" w:lineRule="exact"/>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五、资格审查资料</w:t>
      </w:r>
    </w:p>
    <w:p w14:paraId="47C171EA">
      <w:pPr>
        <w:pStyle w:val="22"/>
        <w:tabs>
          <w:tab w:val="left" w:pos="1004"/>
        </w:tabs>
        <w:spacing w:before="0" w:after="0" w:line="520" w:lineRule="exact"/>
        <w:jc w:val="center"/>
        <w:rPr>
          <w:rFonts w:hint="eastAsia" w:ascii="宋体" w:hAnsi="宋体" w:eastAsia="宋体"/>
          <w:b w:val="0"/>
          <w:bCs w:val="0"/>
          <w:color w:val="auto"/>
          <w:kern w:val="2"/>
          <w:sz w:val="24"/>
          <w:szCs w:val="24"/>
          <w:highlight w:val="none"/>
        </w:rPr>
      </w:pPr>
      <w:r>
        <w:rPr>
          <w:rFonts w:hint="eastAsia" w:ascii="宋体" w:hAnsi="宋体" w:eastAsia="宋体"/>
          <w:b w:val="0"/>
          <w:bCs w:val="0"/>
          <w:color w:val="auto"/>
          <w:kern w:val="2"/>
          <w:sz w:val="24"/>
          <w:szCs w:val="24"/>
          <w:highlight w:val="none"/>
        </w:rPr>
        <w:t>（一）供应商基本情况表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2"/>
        <w:gridCol w:w="3203"/>
        <w:gridCol w:w="1396"/>
        <w:gridCol w:w="2304"/>
      </w:tblGrid>
      <w:tr w14:paraId="7409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252" w:type="dxa"/>
            <w:vAlign w:val="center"/>
          </w:tcPr>
          <w:p w14:paraId="47B0320B">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供应商全称</w:t>
            </w:r>
          </w:p>
        </w:tc>
        <w:tc>
          <w:tcPr>
            <w:tcW w:w="6903" w:type="dxa"/>
            <w:gridSpan w:val="3"/>
            <w:vAlign w:val="center"/>
          </w:tcPr>
          <w:p w14:paraId="001F6632">
            <w:pPr>
              <w:spacing w:line="520" w:lineRule="exact"/>
              <w:jc w:val="center"/>
              <w:rPr>
                <w:rFonts w:ascii="宋体" w:hAnsi="宋体" w:eastAsia="宋体"/>
                <w:b/>
                <w:color w:val="auto"/>
                <w:sz w:val="24"/>
                <w:highlight w:val="none"/>
              </w:rPr>
            </w:pPr>
          </w:p>
        </w:tc>
      </w:tr>
      <w:tr w14:paraId="78EE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0A5E4E66">
            <w:pPr>
              <w:spacing w:line="520" w:lineRule="exact"/>
              <w:jc w:val="center"/>
              <w:rPr>
                <w:rFonts w:ascii="宋体" w:hAnsi="宋体" w:eastAsia="宋体"/>
                <w:color w:val="auto"/>
                <w:sz w:val="24"/>
                <w:highlight w:val="none"/>
              </w:rPr>
            </w:pPr>
            <w:r>
              <w:rPr>
                <w:rFonts w:ascii="宋体" w:hAnsi="宋体" w:eastAsia="宋体"/>
                <w:color w:val="auto"/>
                <w:sz w:val="24"/>
                <w:highlight w:val="none"/>
              </w:rPr>
              <w:t>经营范围</w:t>
            </w:r>
          </w:p>
        </w:tc>
        <w:tc>
          <w:tcPr>
            <w:tcW w:w="6903" w:type="dxa"/>
            <w:gridSpan w:val="3"/>
            <w:vAlign w:val="center"/>
          </w:tcPr>
          <w:p w14:paraId="5F9EC89C">
            <w:pPr>
              <w:spacing w:line="520" w:lineRule="exact"/>
              <w:jc w:val="center"/>
              <w:rPr>
                <w:rFonts w:ascii="宋体" w:hAnsi="宋体" w:eastAsia="宋体"/>
                <w:b/>
                <w:color w:val="auto"/>
                <w:sz w:val="24"/>
                <w:highlight w:val="none"/>
              </w:rPr>
            </w:pPr>
          </w:p>
        </w:tc>
      </w:tr>
      <w:tr w14:paraId="3FEF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3D61456E">
            <w:pPr>
              <w:spacing w:line="520" w:lineRule="exact"/>
              <w:jc w:val="center"/>
              <w:rPr>
                <w:rFonts w:ascii="宋体" w:hAnsi="宋体" w:eastAsia="宋体"/>
                <w:color w:val="auto"/>
                <w:sz w:val="24"/>
                <w:highlight w:val="none"/>
              </w:rPr>
            </w:pPr>
            <w:r>
              <w:rPr>
                <w:rFonts w:ascii="宋体" w:hAnsi="宋体" w:eastAsia="宋体"/>
                <w:color w:val="auto"/>
                <w:sz w:val="24"/>
                <w:highlight w:val="none"/>
              </w:rPr>
              <w:t>法定代表人姓名</w:t>
            </w:r>
          </w:p>
        </w:tc>
        <w:tc>
          <w:tcPr>
            <w:tcW w:w="3203" w:type="dxa"/>
            <w:vAlign w:val="center"/>
          </w:tcPr>
          <w:p w14:paraId="5C60D83C">
            <w:pPr>
              <w:spacing w:line="520" w:lineRule="exact"/>
              <w:jc w:val="center"/>
              <w:rPr>
                <w:rFonts w:ascii="宋体" w:hAnsi="宋体" w:eastAsia="宋体"/>
                <w:b/>
                <w:color w:val="auto"/>
                <w:sz w:val="24"/>
                <w:highlight w:val="none"/>
              </w:rPr>
            </w:pPr>
          </w:p>
        </w:tc>
        <w:tc>
          <w:tcPr>
            <w:tcW w:w="1396" w:type="dxa"/>
            <w:vAlign w:val="center"/>
          </w:tcPr>
          <w:p w14:paraId="3903DC08">
            <w:pPr>
              <w:spacing w:line="520" w:lineRule="exact"/>
              <w:jc w:val="center"/>
              <w:rPr>
                <w:rFonts w:ascii="宋体" w:hAnsi="宋体" w:eastAsia="宋体"/>
                <w:color w:val="auto"/>
                <w:sz w:val="24"/>
                <w:highlight w:val="none"/>
              </w:rPr>
            </w:pPr>
            <w:r>
              <w:rPr>
                <w:rFonts w:ascii="宋体" w:hAnsi="宋体" w:eastAsia="宋体"/>
                <w:color w:val="auto"/>
                <w:sz w:val="24"/>
                <w:highlight w:val="none"/>
              </w:rPr>
              <w:t>职务</w:t>
            </w:r>
          </w:p>
        </w:tc>
        <w:tc>
          <w:tcPr>
            <w:tcW w:w="2304" w:type="dxa"/>
            <w:vAlign w:val="center"/>
          </w:tcPr>
          <w:p w14:paraId="0FDE48BE">
            <w:pPr>
              <w:spacing w:line="520" w:lineRule="exact"/>
              <w:jc w:val="center"/>
              <w:rPr>
                <w:rFonts w:ascii="宋体" w:hAnsi="宋体" w:eastAsia="宋体"/>
                <w:b/>
                <w:color w:val="auto"/>
                <w:sz w:val="24"/>
                <w:highlight w:val="none"/>
              </w:rPr>
            </w:pPr>
          </w:p>
        </w:tc>
      </w:tr>
      <w:tr w14:paraId="7604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3A44DCB6">
            <w:pPr>
              <w:spacing w:line="520" w:lineRule="exact"/>
              <w:jc w:val="center"/>
              <w:rPr>
                <w:rFonts w:ascii="宋体" w:hAnsi="宋体" w:eastAsia="宋体"/>
                <w:color w:val="auto"/>
                <w:sz w:val="24"/>
                <w:highlight w:val="none"/>
              </w:rPr>
            </w:pPr>
            <w:r>
              <w:rPr>
                <w:rFonts w:ascii="宋体" w:hAnsi="宋体" w:eastAsia="宋体"/>
                <w:color w:val="auto"/>
                <w:sz w:val="24"/>
                <w:highlight w:val="none"/>
              </w:rPr>
              <w:t>供应商地址</w:t>
            </w:r>
          </w:p>
        </w:tc>
        <w:tc>
          <w:tcPr>
            <w:tcW w:w="3203" w:type="dxa"/>
            <w:vAlign w:val="center"/>
          </w:tcPr>
          <w:p w14:paraId="1B0F353F">
            <w:pPr>
              <w:spacing w:line="520" w:lineRule="exact"/>
              <w:jc w:val="center"/>
              <w:rPr>
                <w:rFonts w:ascii="宋体" w:hAnsi="宋体" w:eastAsia="宋体"/>
                <w:b/>
                <w:color w:val="auto"/>
                <w:sz w:val="24"/>
                <w:highlight w:val="none"/>
              </w:rPr>
            </w:pPr>
          </w:p>
        </w:tc>
        <w:tc>
          <w:tcPr>
            <w:tcW w:w="1396" w:type="dxa"/>
            <w:vAlign w:val="center"/>
          </w:tcPr>
          <w:p w14:paraId="11CDDBA5">
            <w:pPr>
              <w:spacing w:line="520" w:lineRule="exact"/>
              <w:jc w:val="center"/>
              <w:rPr>
                <w:rFonts w:ascii="宋体" w:hAnsi="宋体" w:eastAsia="宋体"/>
                <w:color w:val="auto"/>
                <w:sz w:val="24"/>
                <w:highlight w:val="none"/>
              </w:rPr>
            </w:pPr>
            <w:r>
              <w:rPr>
                <w:rFonts w:ascii="宋体" w:hAnsi="宋体" w:eastAsia="宋体"/>
                <w:color w:val="auto"/>
                <w:sz w:val="24"/>
                <w:highlight w:val="none"/>
              </w:rPr>
              <w:t>邮政编码</w:t>
            </w:r>
          </w:p>
        </w:tc>
        <w:tc>
          <w:tcPr>
            <w:tcW w:w="2304" w:type="dxa"/>
            <w:vAlign w:val="center"/>
          </w:tcPr>
          <w:p w14:paraId="07E000CB">
            <w:pPr>
              <w:spacing w:line="520" w:lineRule="exact"/>
              <w:jc w:val="center"/>
              <w:rPr>
                <w:rFonts w:ascii="宋体" w:hAnsi="宋体" w:eastAsia="宋体"/>
                <w:b/>
                <w:color w:val="auto"/>
                <w:sz w:val="24"/>
                <w:highlight w:val="none"/>
              </w:rPr>
            </w:pPr>
          </w:p>
        </w:tc>
      </w:tr>
      <w:tr w14:paraId="1EE5E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2252" w:type="dxa"/>
            <w:vAlign w:val="center"/>
          </w:tcPr>
          <w:p w14:paraId="65685F1A">
            <w:pPr>
              <w:spacing w:line="520" w:lineRule="exact"/>
              <w:jc w:val="center"/>
              <w:rPr>
                <w:rFonts w:ascii="宋体" w:hAnsi="宋体" w:eastAsia="宋体"/>
                <w:color w:val="auto"/>
                <w:sz w:val="24"/>
                <w:highlight w:val="none"/>
              </w:rPr>
            </w:pPr>
            <w:r>
              <w:rPr>
                <w:rFonts w:ascii="宋体" w:hAnsi="宋体" w:eastAsia="宋体"/>
                <w:color w:val="auto"/>
                <w:sz w:val="24"/>
                <w:highlight w:val="none"/>
              </w:rPr>
              <w:t>联系人</w:t>
            </w:r>
          </w:p>
        </w:tc>
        <w:tc>
          <w:tcPr>
            <w:tcW w:w="3203" w:type="dxa"/>
            <w:vAlign w:val="center"/>
          </w:tcPr>
          <w:p w14:paraId="443BDA75">
            <w:pPr>
              <w:spacing w:line="520" w:lineRule="exact"/>
              <w:jc w:val="center"/>
              <w:rPr>
                <w:rFonts w:ascii="宋体" w:hAnsi="宋体" w:eastAsia="宋体"/>
                <w:b/>
                <w:color w:val="auto"/>
                <w:sz w:val="24"/>
                <w:highlight w:val="none"/>
              </w:rPr>
            </w:pPr>
          </w:p>
        </w:tc>
        <w:tc>
          <w:tcPr>
            <w:tcW w:w="1396" w:type="dxa"/>
            <w:vAlign w:val="center"/>
          </w:tcPr>
          <w:p w14:paraId="79C94989">
            <w:pPr>
              <w:spacing w:line="520" w:lineRule="exact"/>
              <w:jc w:val="center"/>
              <w:rPr>
                <w:rFonts w:ascii="宋体" w:hAnsi="宋体" w:eastAsia="宋体"/>
                <w:color w:val="auto"/>
                <w:sz w:val="24"/>
                <w:highlight w:val="none"/>
              </w:rPr>
            </w:pPr>
            <w:r>
              <w:rPr>
                <w:rFonts w:ascii="宋体" w:hAnsi="宋体" w:eastAsia="宋体"/>
                <w:color w:val="auto"/>
                <w:sz w:val="24"/>
                <w:highlight w:val="none"/>
              </w:rPr>
              <w:t>电话（手机号）</w:t>
            </w:r>
          </w:p>
        </w:tc>
        <w:tc>
          <w:tcPr>
            <w:tcW w:w="2304" w:type="dxa"/>
            <w:vAlign w:val="center"/>
          </w:tcPr>
          <w:p w14:paraId="38373124">
            <w:pPr>
              <w:spacing w:line="520" w:lineRule="exact"/>
              <w:jc w:val="center"/>
              <w:rPr>
                <w:rFonts w:ascii="宋体" w:hAnsi="宋体" w:eastAsia="宋体"/>
                <w:b/>
                <w:color w:val="auto"/>
                <w:sz w:val="24"/>
                <w:highlight w:val="none"/>
              </w:rPr>
            </w:pPr>
          </w:p>
        </w:tc>
      </w:tr>
      <w:tr w14:paraId="2B45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252" w:type="dxa"/>
            <w:vAlign w:val="center"/>
          </w:tcPr>
          <w:p w14:paraId="43EE9EB9">
            <w:pPr>
              <w:spacing w:line="520" w:lineRule="exact"/>
              <w:jc w:val="center"/>
              <w:rPr>
                <w:rFonts w:ascii="宋体" w:hAnsi="宋体" w:eastAsia="宋体"/>
                <w:color w:val="auto"/>
                <w:sz w:val="24"/>
                <w:highlight w:val="none"/>
              </w:rPr>
            </w:pPr>
            <w:r>
              <w:rPr>
                <w:rFonts w:ascii="宋体" w:hAnsi="宋体" w:eastAsia="宋体"/>
                <w:color w:val="auto"/>
                <w:sz w:val="24"/>
                <w:highlight w:val="none"/>
              </w:rPr>
              <w:t>成立日期</w:t>
            </w:r>
          </w:p>
        </w:tc>
        <w:tc>
          <w:tcPr>
            <w:tcW w:w="3203" w:type="dxa"/>
            <w:vAlign w:val="center"/>
          </w:tcPr>
          <w:p w14:paraId="627C42FA">
            <w:pPr>
              <w:spacing w:line="520" w:lineRule="exact"/>
              <w:jc w:val="center"/>
              <w:rPr>
                <w:rFonts w:ascii="宋体" w:hAnsi="宋体" w:eastAsia="宋体"/>
                <w:b/>
                <w:color w:val="auto"/>
                <w:sz w:val="24"/>
                <w:highlight w:val="none"/>
              </w:rPr>
            </w:pPr>
          </w:p>
        </w:tc>
        <w:tc>
          <w:tcPr>
            <w:tcW w:w="1396" w:type="dxa"/>
            <w:vAlign w:val="center"/>
          </w:tcPr>
          <w:p w14:paraId="52869590">
            <w:pPr>
              <w:spacing w:line="520" w:lineRule="exact"/>
              <w:jc w:val="center"/>
              <w:rPr>
                <w:rFonts w:ascii="宋体" w:hAnsi="宋体" w:eastAsia="宋体"/>
                <w:color w:val="auto"/>
                <w:sz w:val="24"/>
                <w:highlight w:val="none"/>
              </w:rPr>
            </w:pPr>
            <w:r>
              <w:rPr>
                <w:rFonts w:ascii="宋体" w:hAnsi="宋体" w:eastAsia="宋体"/>
                <w:color w:val="auto"/>
                <w:sz w:val="24"/>
                <w:highlight w:val="none"/>
              </w:rPr>
              <w:t>现有职</w:t>
            </w:r>
          </w:p>
          <w:p w14:paraId="327F8933">
            <w:pPr>
              <w:spacing w:line="520" w:lineRule="exact"/>
              <w:jc w:val="center"/>
              <w:rPr>
                <w:rFonts w:ascii="宋体" w:hAnsi="宋体" w:eastAsia="宋体"/>
                <w:color w:val="auto"/>
                <w:sz w:val="24"/>
                <w:highlight w:val="none"/>
              </w:rPr>
            </w:pPr>
            <w:r>
              <w:rPr>
                <w:rFonts w:ascii="宋体" w:hAnsi="宋体" w:eastAsia="宋体"/>
                <w:color w:val="auto"/>
                <w:sz w:val="24"/>
                <w:highlight w:val="none"/>
              </w:rPr>
              <w:t>工人数</w:t>
            </w:r>
          </w:p>
        </w:tc>
        <w:tc>
          <w:tcPr>
            <w:tcW w:w="2304" w:type="dxa"/>
            <w:vAlign w:val="center"/>
          </w:tcPr>
          <w:p w14:paraId="0793E04B">
            <w:pPr>
              <w:spacing w:line="520" w:lineRule="exact"/>
              <w:jc w:val="center"/>
              <w:rPr>
                <w:rFonts w:ascii="宋体" w:hAnsi="宋体" w:eastAsia="宋体"/>
                <w:b/>
                <w:color w:val="auto"/>
                <w:sz w:val="24"/>
                <w:highlight w:val="none"/>
              </w:rPr>
            </w:pPr>
          </w:p>
        </w:tc>
      </w:tr>
      <w:tr w14:paraId="5B0A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9155" w:type="dxa"/>
            <w:gridSpan w:val="4"/>
            <w:tcBorders>
              <w:bottom w:val="single" w:color="auto" w:sz="4" w:space="0"/>
            </w:tcBorders>
            <w:vAlign w:val="center"/>
          </w:tcPr>
          <w:p w14:paraId="400D4191">
            <w:pPr>
              <w:spacing w:line="520" w:lineRule="exact"/>
              <w:jc w:val="left"/>
              <w:rPr>
                <w:rFonts w:ascii="宋体" w:hAnsi="宋体" w:eastAsia="宋体"/>
                <w:color w:val="auto"/>
                <w:sz w:val="24"/>
                <w:highlight w:val="none"/>
              </w:rPr>
            </w:pPr>
            <w:r>
              <w:rPr>
                <w:rFonts w:ascii="宋体" w:hAnsi="宋体" w:eastAsia="宋体"/>
                <w:color w:val="auto"/>
                <w:sz w:val="24"/>
                <w:highlight w:val="none"/>
              </w:rPr>
              <w:t>单位组织机构简介：</w:t>
            </w:r>
          </w:p>
          <w:p w14:paraId="39DB0D61">
            <w:pPr>
              <w:spacing w:line="520" w:lineRule="exact"/>
              <w:jc w:val="center"/>
              <w:rPr>
                <w:rFonts w:ascii="宋体" w:hAnsi="宋体" w:eastAsia="宋体"/>
                <w:color w:val="auto"/>
                <w:sz w:val="24"/>
                <w:highlight w:val="none"/>
              </w:rPr>
            </w:pPr>
          </w:p>
        </w:tc>
      </w:tr>
    </w:tbl>
    <w:p w14:paraId="75690AC1">
      <w:pPr>
        <w:tabs>
          <w:tab w:val="left" w:pos="1680"/>
        </w:tabs>
        <w:spacing w:line="520" w:lineRule="exact"/>
        <w:ind w:firstLine="420"/>
        <w:rPr>
          <w:rFonts w:hint="eastAsia" w:ascii="宋体" w:hAnsi="宋体"/>
          <w:color w:val="auto"/>
          <w:sz w:val="24"/>
          <w:highlight w:val="none"/>
        </w:rPr>
      </w:pPr>
    </w:p>
    <w:p w14:paraId="274BEA60">
      <w:pPr>
        <w:spacing w:line="520" w:lineRule="exact"/>
        <w:ind w:firstLine="3150"/>
        <w:rPr>
          <w:rFonts w:hint="eastAsia" w:ascii="宋体" w:hAnsi="宋体"/>
          <w:color w:val="auto"/>
          <w:sz w:val="24"/>
          <w:highlight w:val="none"/>
        </w:rPr>
      </w:pPr>
      <w:r>
        <w:rPr>
          <w:rFonts w:hint="eastAsia" w:ascii="宋体" w:hAnsi="宋体"/>
          <w:color w:val="auto"/>
          <w:sz w:val="24"/>
          <w:highlight w:val="none"/>
        </w:rPr>
        <w:t>供应商：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(电子签章) </w:t>
      </w:r>
    </w:p>
    <w:p w14:paraId="4ADFED56">
      <w:pPr>
        <w:spacing w:line="520" w:lineRule="exact"/>
        <w:ind w:firstLine="3150"/>
        <w:rPr>
          <w:rFonts w:hint="eastAsia" w:ascii="宋体" w:hAnsi="宋体"/>
          <w:color w:val="auto"/>
          <w:sz w:val="24"/>
          <w:highlight w:val="none"/>
        </w:rPr>
      </w:pPr>
      <w:r>
        <w:rPr>
          <w:rFonts w:hint="eastAsia" w:ascii="宋体" w:hAnsi="宋体"/>
          <w:color w:val="auto"/>
          <w:sz w:val="24"/>
          <w:highlight w:val="none"/>
        </w:rPr>
        <w:t>法定代表人或其委托代理人：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(电子签章)   </w:t>
      </w:r>
    </w:p>
    <w:p w14:paraId="73755DE0">
      <w:pPr>
        <w:spacing w:line="520" w:lineRule="exact"/>
        <w:ind w:firstLine="3150"/>
        <w:rPr>
          <w:rFonts w:hint="eastAsia" w:ascii="宋体" w:hAnsi="宋体"/>
          <w:color w:val="auto"/>
          <w:sz w:val="24"/>
          <w:highlight w:val="none"/>
        </w:rPr>
      </w:pPr>
    </w:p>
    <w:p w14:paraId="6AFAE20A">
      <w:pPr>
        <w:spacing w:line="520" w:lineRule="exact"/>
        <w:ind w:firstLine="5280" w:firstLineChars="2200"/>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 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BB4C910">
      <w:pPr>
        <w:spacing w:line="520" w:lineRule="exact"/>
        <w:ind w:firstLine="240"/>
        <w:rPr>
          <w:rFonts w:hint="eastAsia" w:ascii="宋体" w:hAnsi="宋体"/>
          <w:color w:val="auto"/>
          <w:sz w:val="24"/>
          <w:highlight w:val="none"/>
        </w:rPr>
      </w:pPr>
    </w:p>
    <w:p w14:paraId="41B10EC4">
      <w:pPr>
        <w:spacing w:line="520" w:lineRule="exact"/>
        <w:rPr>
          <w:rFonts w:hint="eastAsia" w:ascii="宋体" w:hAnsi="宋体"/>
          <w:color w:val="auto"/>
          <w:sz w:val="24"/>
          <w:highlight w:val="none"/>
        </w:rPr>
      </w:pPr>
      <w:r>
        <w:rPr>
          <w:rFonts w:hint="eastAsia" w:ascii="宋体" w:hAnsi="宋体"/>
          <w:color w:val="auto"/>
          <w:sz w:val="24"/>
          <w:highlight w:val="none"/>
        </w:rPr>
        <w:t>注：供应商需随此表附上营业执照等证明材料的扫描件。</w:t>
      </w:r>
    </w:p>
    <w:p w14:paraId="3724C04F">
      <w:pPr>
        <w:pStyle w:val="63"/>
        <w:spacing w:line="520" w:lineRule="exact"/>
        <w:jc w:val="center"/>
        <w:outlineLvl w:val="9"/>
        <w:rPr>
          <w:rFonts w:hint="eastAsia" w:ascii="宋体" w:hAnsi="宋体" w:eastAsia="宋体"/>
          <w:b w:val="0"/>
          <w:color w:val="auto"/>
          <w:kern w:val="0"/>
          <w:sz w:val="24"/>
          <w:szCs w:val="24"/>
          <w:highlight w:val="none"/>
        </w:rPr>
      </w:pPr>
      <w:r>
        <w:rPr>
          <w:rFonts w:hint="eastAsia" w:ascii="宋体" w:hAnsi="宋体" w:eastAsia="宋体"/>
          <w:b w:val="0"/>
          <w:color w:val="auto"/>
          <w:kern w:val="0"/>
          <w:sz w:val="24"/>
          <w:szCs w:val="24"/>
          <w:highlight w:val="none"/>
        </w:rPr>
        <w:br w:type="page"/>
      </w:r>
      <w:r>
        <w:rPr>
          <w:rFonts w:hint="eastAsia" w:ascii="宋体" w:hAnsi="宋体" w:eastAsia="宋体"/>
          <w:b/>
          <w:bCs/>
          <w:color w:val="auto"/>
          <w:kern w:val="0"/>
          <w:sz w:val="24"/>
          <w:szCs w:val="24"/>
          <w:highlight w:val="none"/>
        </w:rPr>
        <w:t>六、项目服务方案</w:t>
      </w:r>
    </w:p>
    <w:p w14:paraId="4760A773">
      <w:pPr>
        <w:spacing w:line="520" w:lineRule="exact"/>
        <w:ind w:left="37"/>
        <w:jc w:val="center"/>
        <w:outlineLvl w:val="0"/>
        <w:rPr>
          <w:rFonts w:hint="eastAsia" w:ascii="宋体" w:hAnsi="宋体"/>
          <w:b/>
          <w:bCs/>
          <w:color w:val="auto"/>
          <w:sz w:val="24"/>
          <w:highlight w:val="none"/>
        </w:rPr>
      </w:pPr>
      <w:r>
        <w:rPr>
          <w:rFonts w:hint="eastAsia" w:ascii="宋体" w:hAnsi="宋体"/>
          <w:b/>
          <w:bCs/>
          <w:color w:val="auto"/>
          <w:sz w:val="24"/>
          <w:highlight w:val="none"/>
        </w:rPr>
        <w:t>（格式自拟）</w:t>
      </w:r>
      <w:r>
        <w:rPr>
          <w:rFonts w:hint="eastAsia" w:ascii="宋体" w:hAnsi="宋体"/>
          <w:b/>
          <w:bCs/>
          <w:color w:val="auto"/>
          <w:sz w:val="24"/>
          <w:highlight w:val="none"/>
        </w:rPr>
        <w:br w:type="page"/>
      </w:r>
      <w:bookmarkStart w:id="332" w:name="_Toc26676"/>
      <w:r>
        <w:rPr>
          <w:rFonts w:hint="eastAsia" w:ascii="宋体" w:hAnsi="宋体"/>
          <w:b/>
          <w:bCs/>
          <w:color w:val="auto"/>
          <w:sz w:val="24"/>
          <w:highlight w:val="none"/>
        </w:rPr>
        <w:t>七、</w:t>
      </w:r>
      <w:bookmarkEnd w:id="332"/>
      <w:r>
        <w:rPr>
          <w:rFonts w:hint="eastAsia" w:ascii="宋体" w:hAnsi="宋体"/>
          <w:b/>
          <w:bCs/>
          <w:color w:val="auto"/>
          <w:sz w:val="24"/>
          <w:highlight w:val="none"/>
        </w:rPr>
        <w:t>其他资料</w:t>
      </w:r>
    </w:p>
    <w:p w14:paraId="26382D70">
      <w:pPr>
        <w:widowControl/>
        <w:spacing w:line="360" w:lineRule="auto"/>
        <w:ind w:firstLine="3855" w:firstLineChars="1600"/>
        <w:jc w:val="left"/>
        <w:rPr>
          <w:rFonts w:hint="eastAsia" w:ascii="宋体" w:hAnsi="宋体"/>
          <w:b/>
          <w:bCs/>
          <w:color w:val="auto"/>
          <w:sz w:val="24"/>
          <w:highlight w:val="none"/>
        </w:rPr>
      </w:pPr>
      <w:r>
        <w:rPr>
          <w:rFonts w:hint="eastAsia" w:ascii="宋体" w:hAnsi="宋体"/>
          <w:b/>
          <w:bCs/>
          <w:color w:val="auto"/>
          <w:sz w:val="24"/>
          <w:highlight w:val="none"/>
        </w:rPr>
        <w:t>7.1投标承诺函</w:t>
      </w:r>
    </w:p>
    <w:p w14:paraId="753F9BAA">
      <w:pPr>
        <w:spacing w:before="59" w:line="186" w:lineRule="auto"/>
        <w:ind w:firstLine="420"/>
        <w:rPr>
          <w:rFonts w:hint="eastAsia" w:ascii="宋体" w:hAnsi="宋体"/>
          <w:color w:val="auto"/>
          <w:spacing w:val="-11"/>
          <w:sz w:val="24"/>
          <w:highlight w:val="none"/>
        </w:rPr>
      </w:pPr>
      <w:r>
        <w:rPr>
          <w:rFonts w:hint="eastAsia" w:ascii="宋体" w:hAnsi="宋体"/>
          <w:color w:val="auto"/>
          <w:spacing w:val="-11"/>
          <w:sz w:val="24"/>
          <w:highlight w:val="none"/>
        </w:rPr>
        <w:t>致</w:t>
      </w:r>
      <w:r>
        <w:rPr>
          <w:rFonts w:hint="eastAsia" w:ascii="宋体" w:hAnsi="宋体"/>
          <w:color w:val="auto"/>
          <w:spacing w:val="-47"/>
          <w:sz w:val="24"/>
          <w:highlight w:val="none"/>
          <w:u w:val="single"/>
        </w:rPr>
        <w:t xml:space="preserve"> </w:t>
      </w:r>
      <w:r>
        <w:rPr>
          <w:rFonts w:hint="eastAsia" w:ascii="宋体" w:hAnsi="宋体"/>
          <w:color w:val="auto"/>
          <w:spacing w:val="-11"/>
          <w:sz w:val="24"/>
          <w:highlight w:val="none"/>
          <w:u w:val="single"/>
        </w:rPr>
        <w:t>（采购人及招标代理机构</w:t>
      </w:r>
      <w:r>
        <w:rPr>
          <w:rFonts w:hint="eastAsia" w:ascii="宋体" w:hAnsi="宋体"/>
          <w:color w:val="auto"/>
          <w:spacing w:val="-25"/>
          <w:sz w:val="24"/>
          <w:highlight w:val="none"/>
          <w:u w:val="single"/>
        </w:rPr>
        <w:t>）</w:t>
      </w:r>
      <w:r>
        <w:rPr>
          <w:rFonts w:hint="eastAsia" w:ascii="宋体" w:hAnsi="宋体"/>
          <w:color w:val="auto"/>
          <w:spacing w:val="15"/>
          <w:sz w:val="24"/>
          <w:highlight w:val="none"/>
          <w:u w:val="single"/>
        </w:rPr>
        <w:t xml:space="preserve"> </w:t>
      </w:r>
      <w:r>
        <w:rPr>
          <w:rFonts w:hint="eastAsia" w:ascii="宋体" w:hAnsi="宋体"/>
          <w:color w:val="auto"/>
          <w:spacing w:val="-25"/>
          <w:sz w:val="24"/>
          <w:highlight w:val="none"/>
        </w:rPr>
        <w:t>：</w:t>
      </w:r>
    </w:p>
    <w:p w14:paraId="4CDFF602">
      <w:pPr>
        <w:spacing w:before="198" w:line="186" w:lineRule="auto"/>
        <w:ind w:firstLine="422"/>
        <w:rPr>
          <w:rFonts w:hint="eastAsia" w:ascii="宋体" w:hAnsi="宋体"/>
          <w:color w:val="auto"/>
          <w:spacing w:val="-11"/>
          <w:sz w:val="24"/>
          <w:highlight w:val="none"/>
        </w:rPr>
      </w:pPr>
      <w:r>
        <w:rPr>
          <w:rFonts w:hint="eastAsia" w:ascii="宋体" w:hAnsi="宋体"/>
          <w:color w:val="auto"/>
          <w:spacing w:val="-11"/>
          <w:sz w:val="24"/>
          <w:highlight w:val="none"/>
        </w:rPr>
        <w:t>我公司作为本次采购项目的供应商，根据磋商文件要求，现郑重承诺如下：</w:t>
      </w:r>
    </w:p>
    <w:p w14:paraId="2768E001">
      <w:pPr>
        <w:spacing w:before="196" w:line="186" w:lineRule="auto"/>
        <w:ind w:firstLine="423"/>
        <w:rPr>
          <w:rFonts w:hint="eastAsia" w:ascii="宋体" w:hAnsi="宋体"/>
          <w:color w:val="auto"/>
          <w:spacing w:val="-2"/>
          <w:sz w:val="24"/>
          <w:highlight w:val="none"/>
        </w:rPr>
      </w:pPr>
      <w:r>
        <w:rPr>
          <w:rFonts w:hint="eastAsia" w:ascii="宋体" w:hAnsi="宋体"/>
          <w:color w:val="auto"/>
          <w:spacing w:val="-2"/>
          <w:sz w:val="24"/>
          <w:highlight w:val="none"/>
        </w:rPr>
        <w:t>一、具备《中华人民共和国政府采购法》第二十二条和本项目规定的条件：</w:t>
      </w:r>
    </w:p>
    <w:p w14:paraId="38E07587">
      <w:pPr>
        <w:spacing w:before="196" w:line="186" w:lineRule="auto"/>
        <w:ind w:firstLine="426"/>
        <w:rPr>
          <w:rFonts w:hint="eastAsia" w:ascii="宋体" w:hAnsi="宋体"/>
          <w:color w:val="auto"/>
          <w:spacing w:val="-7"/>
          <w:sz w:val="24"/>
          <w:highlight w:val="none"/>
        </w:rPr>
      </w:pPr>
      <w:r>
        <w:rPr>
          <w:rFonts w:hint="eastAsia" w:ascii="宋体" w:hAnsi="宋体"/>
          <w:color w:val="auto"/>
          <w:spacing w:val="-7"/>
          <w:sz w:val="24"/>
          <w:highlight w:val="none"/>
        </w:rPr>
        <w:t>（一）</w:t>
      </w:r>
      <w:r>
        <w:rPr>
          <w:rFonts w:hint="eastAsia" w:ascii="宋体" w:hAnsi="宋体"/>
          <w:color w:val="auto"/>
          <w:spacing w:val="4"/>
          <w:sz w:val="24"/>
          <w:highlight w:val="none"/>
        </w:rPr>
        <w:t xml:space="preserve"> </w:t>
      </w:r>
      <w:r>
        <w:rPr>
          <w:rFonts w:hint="eastAsia" w:ascii="宋体" w:hAnsi="宋体"/>
          <w:color w:val="auto"/>
          <w:spacing w:val="-7"/>
          <w:sz w:val="24"/>
          <w:highlight w:val="none"/>
        </w:rPr>
        <w:t>具有独立承担民事责任的能力；</w:t>
      </w:r>
    </w:p>
    <w:p w14:paraId="642ED435">
      <w:pPr>
        <w:spacing w:before="197"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（二）</w:t>
      </w:r>
      <w:r>
        <w:rPr>
          <w:rFonts w:hint="eastAsia" w:ascii="宋体" w:hAnsi="宋体"/>
          <w:color w:val="auto"/>
          <w:sz w:val="24"/>
          <w:highlight w:val="none"/>
        </w:rPr>
        <w:t xml:space="preserve"> </w:t>
      </w:r>
      <w:r>
        <w:rPr>
          <w:rFonts w:hint="eastAsia" w:ascii="宋体" w:hAnsi="宋体"/>
          <w:color w:val="auto"/>
          <w:spacing w:val="-5"/>
          <w:sz w:val="24"/>
          <w:highlight w:val="none"/>
        </w:rPr>
        <w:t>具有良好的商业信誉和健全的财务会计制度；</w:t>
      </w:r>
    </w:p>
    <w:p w14:paraId="2985256F">
      <w:pPr>
        <w:spacing w:before="198"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（三）</w:t>
      </w:r>
      <w:r>
        <w:rPr>
          <w:rFonts w:hint="eastAsia" w:ascii="宋体" w:hAnsi="宋体"/>
          <w:color w:val="auto"/>
          <w:sz w:val="24"/>
          <w:highlight w:val="none"/>
        </w:rPr>
        <w:t xml:space="preserve"> </w:t>
      </w:r>
      <w:r>
        <w:rPr>
          <w:rFonts w:hint="eastAsia" w:ascii="宋体" w:hAnsi="宋体"/>
          <w:color w:val="auto"/>
          <w:spacing w:val="-5"/>
          <w:sz w:val="24"/>
          <w:highlight w:val="none"/>
        </w:rPr>
        <w:t>具有履行合同所必需的设备和专业技术能力；</w:t>
      </w:r>
    </w:p>
    <w:p w14:paraId="1A4084A9">
      <w:pPr>
        <w:spacing w:before="197"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（四）</w:t>
      </w:r>
      <w:r>
        <w:rPr>
          <w:rFonts w:hint="eastAsia" w:ascii="宋体" w:hAnsi="宋体"/>
          <w:color w:val="auto"/>
          <w:sz w:val="24"/>
          <w:highlight w:val="none"/>
        </w:rPr>
        <w:t xml:space="preserve"> </w:t>
      </w:r>
      <w:r>
        <w:rPr>
          <w:rFonts w:hint="eastAsia" w:ascii="宋体" w:hAnsi="宋体"/>
          <w:color w:val="auto"/>
          <w:spacing w:val="-5"/>
          <w:sz w:val="24"/>
          <w:highlight w:val="none"/>
        </w:rPr>
        <w:t>有依法缴纳税收和社会保障资金的良好记录；</w:t>
      </w:r>
    </w:p>
    <w:p w14:paraId="25E0F0AE">
      <w:pPr>
        <w:spacing w:before="196" w:line="186" w:lineRule="auto"/>
        <w:ind w:firstLine="426"/>
        <w:rPr>
          <w:rFonts w:hint="eastAsia" w:ascii="宋体" w:hAnsi="宋体"/>
          <w:color w:val="auto"/>
          <w:spacing w:val="-10"/>
          <w:sz w:val="24"/>
          <w:highlight w:val="none"/>
        </w:rPr>
      </w:pPr>
      <w:r>
        <w:rPr>
          <w:rFonts w:hint="eastAsia" w:ascii="宋体" w:hAnsi="宋体"/>
          <w:color w:val="auto"/>
          <w:spacing w:val="-10"/>
          <w:sz w:val="24"/>
          <w:highlight w:val="none"/>
        </w:rPr>
        <w:t>（五）</w:t>
      </w:r>
      <w:r>
        <w:rPr>
          <w:rFonts w:hint="eastAsia" w:ascii="宋体" w:hAnsi="宋体"/>
          <w:color w:val="auto"/>
          <w:spacing w:val="18"/>
          <w:sz w:val="24"/>
          <w:highlight w:val="none"/>
        </w:rPr>
        <w:t xml:space="preserve"> </w:t>
      </w:r>
      <w:r>
        <w:rPr>
          <w:rFonts w:hint="eastAsia" w:ascii="宋体" w:hAnsi="宋体"/>
          <w:color w:val="auto"/>
          <w:spacing w:val="-10"/>
          <w:sz w:val="24"/>
          <w:highlight w:val="none"/>
        </w:rPr>
        <w:t>参加政府采购活动前三年内，在经营活动中没有重大违法记录；</w:t>
      </w:r>
    </w:p>
    <w:p w14:paraId="2BB84327">
      <w:pPr>
        <w:spacing w:before="197" w:line="186" w:lineRule="auto"/>
        <w:ind w:firstLine="426"/>
        <w:rPr>
          <w:rFonts w:hint="eastAsia" w:ascii="宋体" w:hAnsi="宋体"/>
          <w:color w:val="auto"/>
          <w:spacing w:val="-8"/>
          <w:sz w:val="24"/>
          <w:highlight w:val="none"/>
        </w:rPr>
      </w:pPr>
      <w:r>
        <w:rPr>
          <w:rFonts w:hint="eastAsia" w:ascii="宋体" w:hAnsi="宋体"/>
          <w:color w:val="auto"/>
          <w:spacing w:val="-8"/>
          <w:sz w:val="24"/>
          <w:highlight w:val="none"/>
        </w:rPr>
        <w:t>（六）</w:t>
      </w:r>
      <w:r>
        <w:rPr>
          <w:rFonts w:hint="eastAsia" w:ascii="宋体" w:hAnsi="宋体"/>
          <w:color w:val="auto"/>
          <w:spacing w:val="4"/>
          <w:sz w:val="24"/>
          <w:highlight w:val="none"/>
        </w:rPr>
        <w:t xml:space="preserve"> </w:t>
      </w:r>
      <w:r>
        <w:rPr>
          <w:rFonts w:hint="eastAsia" w:ascii="宋体" w:hAnsi="宋体"/>
          <w:color w:val="auto"/>
          <w:spacing w:val="-8"/>
          <w:sz w:val="24"/>
          <w:highlight w:val="none"/>
        </w:rPr>
        <w:t>法律、行政法规规定的其他条件；</w:t>
      </w:r>
    </w:p>
    <w:p w14:paraId="62B99CEF">
      <w:pPr>
        <w:spacing w:before="197" w:line="186" w:lineRule="auto"/>
        <w:ind w:firstLine="426"/>
        <w:rPr>
          <w:rFonts w:hint="eastAsia" w:ascii="宋体" w:hAnsi="宋体"/>
          <w:color w:val="auto"/>
          <w:spacing w:val="-7"/>
          <w:sz w:val="24"/>
          <w:highlight w:val="none"/>
        </w:rPr>
      </w:pPr>
      <w:r>
        <w:rPr>
          <w:rFonts w:hint="eastAsia" w:ascii="宋体" w:hAnsi="宋体"/>
          <w:color w:val="auto"/>
          <w:spacing w:val="-7"/>
          <w:sz w:val="24"/>
          <w:highlight w:val="none"/>
        </w:rPr>
        <w:t>（七）</w:t>
      </w:r>
      <w:r>
        <w:rPr>
          <w:rFonts w:hint="eastAsia" w:ascii="宋体" w:hAnsi="宋体"/>
          <w:color w:val="auto"/>
          <w:spacing w:val="4"/>
          <w:sz w:val="24"/>
          <w:highlight w:val="none"/>
        </w:rPr>
        <w:t xml:space="preserve"> </w:t>
      </w:r>
      <w:r>
        <w:rPr>
          <w:rFonts w:hint="eastAsia" w:ascii="宋体" w:hAnsi="宋体"/>
          <w:color w:val="auto"/>
          <w:spacing w:val="-7"/>
          <w:sz w:val="24"/>
          <w:highlight w:val="none"/>
        </w:rPr>
        <w:t>根据采购项目提出的特殊条件。</w:t>
      </w:r>
    </w:p>
    <w:p w14:paraId="230F5B9C">
      <w:pPr>
        <w:spacing w:before="198" w:line="359" w:lineRule="auto"/>
        <w:ind w:firstLine="423"/>
        <w:rPr>
          <w:rFonts w:hint="eastAsia" w:ascii="宋体" w:hAnsi="宋体"/>
          <w:color w:val="auto"/>
          <w:sz w:val="24"/>
          <w:highlight w:val="none"/>
        </w:rPr>
      </w:pPr>
      <w:r>
        <w:rPr>
          <w:rFonts w:hint="eastAsia" w:ascii="宋体" w:hAnsi="宋体"/>
          <w:color w:val="auto"/>
          <w:sz w:val="24"/>
          <w:highlight w:val="none"/>
        </w:rPr>
        <w:t>二、完全接受和满足本项目磋商文件中规定的实质性要求，如对磋商文件有异议，已经在投标截止时间届满前依法进行维权救济，不存在对磋商文件有异议的同时又参加投标以求侥幸中标或者为实现其他非</w:t>
      </w:r>
      <w:r>
        <w:rPr>
          <w:rFonts w:hint="eastAsia" w:ascii="宋体" w:hAnsi="宋体"/>
          <w:color w:val="auto"/>
          <w:spacing w:val="-3"/>
          <w:sz w:val="24"/>
          <w:highlight w:val="none"/>
        </w:rPr>
        <w:t>法目的的行为。</w:t>
      </w:r>
    </w:p>
    <w:p w14:paraId="2C17D51E">
      <w:pPr>
        <w:spacing w:before="1" w:line="358" w:lineRule="auto"/>
        <w:ind w:left="4" w:firstLine="416"/>
        <w:rPr>
          <w:rFonts w:hint="eastAsia" w:ascii="宋体" w:hAnsi="宋体"/>
          <w:color w:val="auto"/>
          <w:sz w:val="24"/>
          <w:highlight w:val="none"/>
        </w:rPr>
      </w:pPr>
      <w:r>
        <w:rPr>
          <w:rFonts w:hint="eastAsia" w:ascii="宋体" w:hAnsi="宋体"/>
          <w:color w:val="auto"/>
          <w:sz w:val="24"/>
          <w:highlight w:val="none"/>
        </w:rPr>
        <w:t>三、参加本次招标采购活动，不存在与单位负责人为同一人或者存在直接控股、管理关系的其他供应</w:t>
      </w:r>
      <w:r>
        <w:rPr>
          <w:rFonts w:hint="eastAsia" w:ascii="宋体" w:hAnsi="宋体"/>
          <w:color w:val="auto"/>
          <w:spacing w:val="-2"/>
          <w:sz w:val="24"/>
          <w:highlight w:val="none"/>
        </w:rPr>
        <w:t>商参与同一合同项下的政府采购活动的行为。</w:t>
      </w:r>
    </w:p>
    <w:p w14:paraId="7ADFDE59">
      <w:pPr>
        <w:spacing w:before="4" w:line="272" w:lineRule="auto"/>
        <w:ind w:left="1" w:firstLine="438"/>
        <w:rPr>
          <w:rFonts w:hint="eastAsia" w:ascii="宋体" w:hAnsi="宋体"/>
          <w:color w:val="auto"/>
          <w:sz w:val="24"/>
          <w:highlight w:val="none"/>
        </w:rPr>
      </w:pPr>
      <w:r>
        <w:rPr>
          <w:rFonts w:hint="eastAsia" w:ascii="宋体" w:hAnsi="宋体"/>
          <w:color w:val="auto"/>
          <w:sz w:val="24"/>
          <w:highlight w:val="none"/>
        </w:rPr>
        <w:t>四、参加本次招标采购活动，不存在为采购项目提供整体设计、规范编制或者项目管理、监理、检测</w:t>
      </w:r>
      <w:r>
        <w:rPr>
          <w:rFonts w:hint="eastAsia" w:ascii="宋体" w:hAnsi="宋体"/>
          <w:color w:val="auto"/>
          <w:spacing w:val="-4"/>
          <w:sz w:val="24"/>
          <w:highlight w:val="none"/>
        </w:rPr>
        <w:t>等服务的行为。</w:t>
      </w:r>
    </w:p>
    <w:p w14:paraId="6C5184FF">
      <w:pPr>
        <w:spacing w:before="196" w:line="359" w:lineRule="auto"/>
        <w:ind w:firstLine="423"/>
        <w:rPr>
          <w:rFonts w:hint="eastAsia" w:ascii="宋体" w:hAnsi="宋体"/>
          <w:color w:val="auto"/>
          <w:sz w:val="24"/>
          <w:highlight w:val="none"/>
        </w:rPr>
      </w:pPr>
      <w:r>
        <w:rPr>
          <w:rFonts w:hint="eastAsia" w:ascii="宋体" w:hAnsi="宋体"/>
          <w:color w:val="auto"/>
          <w:sz w:val="24"/>
          <w:highlight w:val="none"/>
        </w:rPr>
        <w:t>五、参加本次招标采购活动，不存在和其他供应商在同一合同项下的采购项目中，同时委托同一个自</w:t>
      </w:r>
      <w:r>
        <w:rPr>
          <w:rFonts w:hint="eastAsia" w:ascii="宋体" w:hAnsi="宋体"/>
          <w:color w:val="auto"/>
          <w:spacing w:val="-1"/>
          <w:sz w:val="24"/>
          <w:highlight w:val="none"/>
        </w:rPr>
        <w:t>然人、同一家庭的人员、同一单位的人员作为代理人的行为。</w:t>
      </w:r>
    </w:p>
    <w:p w14:paraId="675505C2">
      <w:pPr>
        <w:spacing w:before="2" w:line="201" w:lineRule="auto"/>
        <w:ind w:firstLine="422"/>
        <w:rPr>
          <w:rFonts w:hint="eastAsia" w:ascii="宋体" w:hAnsi="宋体"/>
          <w:color w:val="auto"/>
          <w:spacing w:val="-1"/>
          <w:sz w:val="24"/>
          <w:highlight w:val="none"/>
        </w:rPr>
      </w:pPr>
      <w:r>
        <w:rPr>
          <w:rFonts w:hint="eastAsia" w:ascii="宋体" w:hAnsi="宋体"/>
          <w:color w:val="auto"/>
          <w:spacing w:val="-1"/>
          <w:sz w:val="24"/>
          <w:highlight w:val="none"/>
        </w:rPr>
        <w:t>六、投标人参加本次政府采购活动要求在近三年内投标人和其法定代表人没有行贿犯罪行为。</w:t>
      </w:r>
    </w:p>
    <w:p w14:paraId="70D382D8">
      <w:pPr>
        <w:spacing w:before="179" w:line="186" w:lineRule="auto"/>
        <w:ind w:firstLine="419"/>
        <w:rPr>
          <w:rFonts w:hint="eastAsia" w:ascii="宋体" w:hAnsi="宋体"/>
          <w:color w:val="auto"/>
          <w:spacing w:val="-1"/>
          <w:sz w:val="24"/>
          <w:highlight w:val="none"/>
        </w:rPr>
      </w:pPr>
      <w:r>
        <w:rPr>
          <w:rFonts w:hint="eastAsia" w:ascii="宋体" w:hAnsi="宋体"/>
          <w:color w:val="auto"/>
          <w:spacing w:val="-1"/>
          <w:sz w:val="24"/>
          <w:highlight w:val="none"/>
        </w:rPr>
        <w:t>七、参加本次招标采购活动，不存在联合体投标。</w:t>
      </w:r>
    </w:p>
    <w:p w14:paraId="1D7301EC">
      <w:pPr>
        <w:spacing w:before="196" w:line="359" w:lineRule="auto"/>
        <w:ind w:firstLine="423"/>
        <w:rPr>
          <w:rFonts w:hint="eastAsia" w:ascii="宋体" w:hAnsi="宋体"/>
          <w:color w:val="auto"/>
          <w:sz w:val="24"/>
          <w:highlight w:val="none"/>
        </w:rPr>
      </w:pPr>
      <w:r>
        <w:rPr>
          <w:rFonts w:hint="eastAsia" w:ascii="宋体" w:hAnsi="宋体"/>
          <w:color w:val="auto"/>
          <w:sz w:val="24"/>
          <w:highlight w:val="none"/>
        </w:rPr>
        <w:t>八、响应文件中提供的能够给予我公司带来优惠、好处的任何材料资料和技术、服务、商务等响应承</w:t>
      </w:r>
      <w:r>
        <w:rPr>
          <w:rFonts w:hint="eastAsia" w:ascii="宋体" w:hAnsi="宋体"/>
          <w:color w:val="auto"/>
          <w:spacing w:val="-1"/>
          <w:sz w:val="24"/>
          <w:highlight w:val="none"/>
        </w:rPr>
        <w:t>诺情况都是真实的、有效的、合法的。</w:t>
      </w:r>
    </w:p>
    <w:p w14:paraId="01AD81A3">
      <w:pPr>
        <w:spacing w:before="197" w:line="186" w:lineRule="auto"/>
        <w:ind w:firstLine="421"/>
        <w:rPr>
          <w:rFonts w:hint="eastAsia" w:ascii="宋体" w:hAnsi="宋体"/>
          <w:color w:val="auto"/>
          <w:spacing w:val="-1"/>
          <w:sz w:val="24"/>
          <w:highlight w:val="none"/>
        </w:rPr>
      </w:pPr>
      <w:r>
        <w:rPr>
          <w:rFonts w:hint="eastAsia" w:ascii="宋体" w:hAnsi="宋体"/>
          <w:color w:val="auto"/>
          <w:spacing w:val="-1"/>
          <w:sz w:val="24"/>
          <w:highlight w:val="none"/>
        </w:rPr>
        <w:t>九、存在以下行为之一的愿意接受相关部门的处理：</w:t>
      </w:r>
    </w:p>
    <w:p w14:paraId="6DB3543B">
      <w:pPr>
        <w:spacing w:before="196" w:line="186" w:lineRule="auto"/>
        <w:ind w:firstLine="426"/>
        <w:rPr>
          <w:rFonts w:hint="eastAsia" w:ascii="宋体" w:hAnsi="宋体"/>
          <w:color w:val="auto"/>
          <w:spacing w:val="-7"/>
          <w:sz w:val="24"/>
          <w:highlight w:val="none"/>
        </w:rPr>
      </w:pPr>
      <w:r>
        <w:rPr>
          <w:rFonts w:hint="eastAsia" w:ascii="宋体" w:hAnsi="宋体"/>
          <w:color w:val="auto"/>
          <w:spacing w:val="-7"/>
          <w:sz w:val="24"/>
          <w:highlight w:val="none"/>
        </w:rPr>
        <w:t>（一）</w:t>
      </w:r>
      <w:r>
        <w:rPr>
          <w:rFonts w:hint="eastAsia" w:ascii="宋体" w:hAnsi="宋体"/>
          <w:color w:val="auto"/>
          <w:spacing w:val="4"/>
          <w:sz w:val="24"/>
          <w:highlight w:val="none"/>
        </w:rPr>
        <w:t xml:space="preserve"> </w:t>
      </w:r>
      <w:r>
        <w:rPr>
          <w:rFonts w:hint="eastAsia" w:ascii="宋体" w:hAnsi="宋体"/>
          <w:color w:val="auto"/>
          <w:spacing w:val="-7"/>
          <w:sz w:val="24"/>
          <w:highlight w:val="none"/>
        </w:rPr>
        <w:t>投标有效期内撤销投标文件的；</w:t>
      </w:r>
    </w:p>
    <w:p w14:paraId="4F7CA97C">
      <w:pPr>
        <w:spacing w:before="196" w:line="186" w:lineRule="auto"/>
        <w:ind w:firstLine="426"/>
        <w:rPr>
          <w:rFonts w:hint="eastAsia" w:ascii="宋体" w:hAnsi="宋体"/>
          <w:color w:val="auto"/>
          <w:spacing w:val="-6"/>
          <w:sz w:val="24"/>
          <w:highlight w:val="none"/>
        </w:rPr>
      </w:pPr>
      <w:r>
        <w:rPr>
          <w:rFonts w:hint="eastAsia" w:ascii="宋体" w:hAnsi="宋体"/>
          <w:color w:val="auto"/>
          <w:spacing w:val="-6"/>
          <w:sz w:val="24"/>
          <w:highlight w:val="none"/>
        </w:rPr>
        <w:t>（二）</w:t>
      </w:r>
      <w:r>
        <w:rPr>
          <w:rFonts w:hint="eastAsia" w:ascii="宋体" w:hAnsi="宋体"/>
          <w:color w:val="auto"/>
          <w:spacing w:val="4"/>
          <w:sz w:val="24"/>
          <w:highlight w:val="none"/>
        </w:rPr>
        <w:t xml:space="preserve"> </w:t>
      </w:r>
      <w:r>
        <w:rPr>
          <w:rFonts w:hint="eastAsia" w:ascii="宋体" w:hAnsi="宋体"/>
          <w:color w:val="auto"/>
          <w:spacing w:val="-6"/>
          <w:sz w:val="24"/>
          <w:highlight w:val="none"/>
        </w:rPr>
        <w:t>在采购人确定中标人以前放弃中标候选资格的；</w:t>
      </w:r>
    </w:p>
    <w:p w14:paraId="1B8F52CE">
      <w:pPr>
        <w:spacing w:before="199"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（三）</w:t>
      </w:r>
      <w:r>
        <w:rPr>
          <w:rFonts w:hint="eastAsia" w:ascii="宋体" w:hAnsi="宋体"/>
          <w:color w:val="auto"/>
          <w:spacing w:val="17"/>
          <w:sz w:val="24"/>
          <w:highlight w:val="none"/>
        </w:rPr>
        <w:t xml:space="preserve"> </w:t>
      </w:r>
      <w:r>
        <w:rPr>
          <w:rFonts w:hint="eastAsia" w:ascii="宋体" w:hAnsi="宋体"/>
          <w:color w:val="auto"/>
          <w:spacing w:val="-5"/>
          <w:sz w:val="24"/>
          <w:highlight w:val="none"/>
        </w:rPr>
        <w:t>由于中标人的原因未能按照磋商文件的规定与采购人签订合同；</w:t>
      </w:r>
    </w:p>
    <w:p w14:paraId="461A31A4">
      <w:pPr>
        <w:widowControl/>
        <w:kinsoku w:val="0"/>
        <w:autoSpaceDE w:val="0"/>
        <w:autoSpaceDN w:val="0"/>
        <w:snapToGrid w:val="0"/>
        <w:spacing w:before="197" w:line="240" w:lineRule="exact"/>
        <w:ind w:firstLine="425"/>
        <w:rPr>
          <w:rFonts w:hint="eastAsia" w:ascii="宋体" w:hAnsi="宋体"/>
          <w:color w:val="auto"/>
          <w:spacing w:val="-5"/>
          <w:sz w:val="24"/>
          <w:highlight w:val="none"/>
        </w:rPr>
      </w:pPr>
      <w:r>
        <w:rPr>
          <w:rFonts w:hint="eastAsia" w:ascii="宋体" w:hAnsi="宋体"/>
          <w:color w:val="auto"/>
          <w:spacing w:val="-5"/>
          <w:sz w:val="24"/>
          <w:highlight w:val="none"/>
        </w:rPr>
        <w:t>（四）</w:t>
      </w:r>
      <w:r>
        <w:rPr>
          <w:rFonts w:hint="eastAsia" w:ascii="宋体" w:hAnsi="宋体"/>
          <w:color w:val="auto"/>
          <w:spacing w:val="37"/>
          <w:sz w:val="24"/>
          <w:highlight w:val="none"/>
        </w:rPr>
        <w:t xml:space="preserve"> </w:t>
      </w:r>
      <w:r>
        <w:rPr>
          <w:rFonts w:hint="eastAsia" w:ascii="宋体" w:hAnsi="宋体"/>
          <w:color w:val="auto"/>
          <w:spacing w:val="-5"/>
          <w:sz w:val="24"/>
          <w:highlight w:val="none"/>
        </w:rPr>
        <w:t>由于中标人的原因未能按照磋商文件的规定交纳履约保证金；</w:t>
      </w:r>
    </w:p>
    <w:p w14:paraId="225E0155">
      <w:pPr>
        <w:spacing w:before="196" w:line="186" w:lineRule="auto"/>
        <w:ind w:firstLine="426"/>
        <w:rPr>
          <w:rFonts w:hint="eastAsia" w:ascii="宋体" w:hAnsi="宋体"/>
          <w:color w:val="auto"/>
          <w:spacing w:val="-7"/>
          <w:sz w:val="24"/>
          <w:highlight w:val="none"/>
        </w:rPr>
      </w:pPr>
      <w:r>
        <w:rPr>
          <w:rFonts w:hint="eastAsia" w:ascii="宋体" w:hAnsi="宋体"/>
          <w:color w:val="auto"/>
          <w:spacing w:val="-7"/>
          <w:sz w:val="24"/>
          <w:highlight w:val="none"/>
        </w:rPr>
        <w:t>（五）</w:t>
      </w:r>
      <w:r>
        <w:rPr>
          <w:rFonts w:hint="eastAsia" w:ascii="宋体" w:hAnsi="宋体"/>
          <w:color w:val="auto"/>
          <w:sz w:val="24"/>
          <w:highlight w:val="none"/>
        </w:rPr>
        <w:t xml:space="preserve"> </w:t>
      </w:r>
      <w:r>
        <w:rPr>
          <w:rFonts w:hint="eastAsia" w:ascii="宋体" w:hAnsi="宋体"/>
          <w:color w:val="auto"/>
          <w:spacing w:val="-7"/>
          <w:sz w:val="24"/>
          <w:highlight w:val="none"/>
        </w:rPr>
        <w:t>在响应文件中提供虚假材料谋取中标；</w:t>
      </w:r>
    </w:p>
    <w:p w14:paraId="5930B461">
      <w:pPr>
        <w:spacing w:before="197"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（六） 与采购人、其他投标人或者招标代理机构恶意串通的；</w:t>
      </w:r>
    </w:p>
    <w:p w14:paraId="036F58D6">
      <w:pPr>
        <w:spacing w:before="197" w:line="186" w:lineRule="auto"/>
        <w:ind w:firstLine="426"/>
        <w:rPr>
          <w:rFonts w:hint="eastAsia" w:ascii="宋体" w:hAnsi="宋体"/>
          <w:color w:val="auto"/>
          <w:spacing w:val="-5"/>
          <w:sz w:val="24"/>
          <w:highlight w:val="none"/>
        </w:rPr>
      </w:pPr>
      <w:r>
        <w:rPr>
          <w:rFonts w:hint="eastAsia" w:ascii="宋体" w:hAnsi="宋体"/>
          <w:color w:val="auto"/>
          <w:spacing w:val="-5"/>
          <w:sz w:val="24"/>
          <w:highlight w:val="none"/>
        </w:rPr>
        <w:t>（七） 投标有效期内，供应商在政府采购活动中有违法、违规、违纪行为。</w:t>
      </w:r>
    </w:p>
    <w:p w14:paraId="48276F62">
      <w:pPr>
        <w:spacing w:before="3" w:line="301" w:lineRule="auto"/>
        <w:ind w:firstLine="425"/>
        <w:rPr>
          <w:rFonts w:hint="eastAsia" w:ascii="宋体" w:hAnsi="宋体"/>
          <w:color w:val="auto"/>
          <w:sz w:val="24"/>
          <w:highlight w:val="none"/>
        </w:rPr>
      </w:pPr>
      <w:r>
        <w:rPr>
          <w:rFonts w:hint="eastAsia" w:ascii="宋体" w:hAnsi="宋体"/>
          <w:color w:val="auto"/>
          <w:sz w:val="24"/>
          <w:highlight w:val="none"/>
        </w:rPr>
        <w:t>由此产生的一切法律后果和责任由我公司承担。我公司声明放弃对此提出任何异议和追索的权利。</w:t>
      </w:r>
    </w:p>
    <w:p w14:paraId="5AE4419D">
      <w:pPr>
        <w:spacing w:before="3" w:line="301" w:lineRule="auto"/>
        <w:ind w:firstLine="425"/>
        <w:rPr>
          <w:rFonts w:hint="eastAsia" w:ascii="宋体" w:hAnsi="宋体"/>
          <w:color w:val="auto"/>
          <w:sz w:val="24"/>
          <w:highlight w:val="none"/>
        </w:rPr>
      </w:pPr>
      <w:r>
        <w:rPr>
          <w:rFonts w:hint="eastAsia" w:ascii="宋体" w:hAnsi="宋体"/>
          <w:color w:val="auto"/>
          <w:sz w:val="24"/>
          <w:highlight w:val="none"/>
        </w:rPr>
        <w:t>本公司对上述承诺的内容事项真实性负责。如经查实上述承诺的内容事项存在虚假，我公司愿意接受 以提供虚假材料谋取中标追究法律责任。</w:t>
      </w:r>
    </w:p>
    <w:p w14:paraId="6F048B92">
      <w:pPr>
        <w:spacing w:line="296" w:lineRule="auto"/>
        <w:rPr>
          <w:rFonts w:hint="eastAsia" w:ascii="宋体" w:hAnsi="宋体"/>
          <w:color w:val="auto"/>
          <w:sz w:val="24"/>
          <w:highlight w:val="none"/>
        </w:rPr>
      </w:pPr>
    </w:p>
    <w:p w14:paraId="56960B1F">
      <w:pPr>
        <w:widowControl/>
        <w:spacing w:line="360" w:lineRule="auto"/>
        <w:ind w:left="418" w:leftChars="199" w:firstLine="480" w:firstLineChars="2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 xml:space="preserve"> </w:t>
      </w:r>
    </w:p>
    <w:p w14:paraId="13C33B09">
      <w:pPr>
        <w:widowControl/>
        <w:spacing w:line="360" w:lineRule="auto"/>
        <w:ind w:firstLine="3600" w:firstLineChars="15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供应商名称：</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（电子签章） </w:t>
      </w:r>
    </w:p>
    <w:p w14:paraId="03C47039">
      <w:pPr>
        <w:widowControl/>
        <w:spacing w:line="360" w:lineRule="auto"/>
        <w:ind w:firstLine="3360" w:firstLineChars="14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法定代表人：</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 （电子签章） </w:t>
      </w:r>
    </w:p>
    <w:p w14:paraId="384B58B1">
      <w:pPr>
        <w:widowControl/>
        <w:spacing w:line="360" w:lineRule="auto"/>
        <w:ind w:firstLine="4560" w:firstLineChars="1900"/>
        <w:jc w:val="left"/>
        <w:rPr>
          <w:rFonts w:hint="eastAsia" w:ascii="宋体" w:hAnsi="宋体"/>
          <w:color w:val="auto"/>
          <w:kern w:val="0"/>
          <w:sz w:val="24"/>
          <w:highlight w:val="none"/>
          <w:u w:val="single"/>
          <w:lang w:bidi="ar"/>
        </w:rPr>
      </w:pP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年 </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月 </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日</w:t>
      </w:r>
    </w:p>
    <w:p w14:paraId="6E0F28BB">
      <w:pPr>
        <w:widowControl/>
        <w:spacing w:line="520" w:lineRule="exact"/>
        <w:jc w:val="center"/>
        <w:rPr>
          <w:rFonts w:hint="eastAsia" w:ascii="宋体" w:hAnsi="宋体"/>
          <w:b/>
          <w:bCs/>
          <w:color w:val="auto"/>
          <w:sz w:val="24"/>
          <w:highlight w:val="none"/>
          <w:lang w:val="zh-CN"/>
        </w:rPr>
      </w:pPr>
      <w:r>
        <w:rPr>
          <w:rFonts w:hint="eastAsia" w:ascii="宋体" w:hAnsi="宋体"/>
          <w:b/>
          <w:bCs/>
          <w:color w:val="auto"/>
          <w:sz w:val="24"/>
          <w:highlight w:val="none"/>
          <w:lang w:val="zh-CN"/>
        </w:rPr>
        <w:br w:type="page"/>
      </w:r>
      <w:r>
        <w:rPr>
          <w:rFonts w:hint="eastAsia" w:ascii="宋体" w:hAnsi="宋体"/>
          <w:b/>
          <w:bCs/>
          <w:color w:val="auto"/>
          <w:sz w:val="24"/>
          <w:highlight w:val="none"/>
        </w:rPr>
        <w:t>7.2招标代理服务费承诺函</w:t>
      </w:r>
    </w:p>
    <w:p w14:paraId="5FDF17EA">
      <w:pPr>
        <w:widowControl/>
        <w:spacing w:line="520" w:lineRule="exact"/>
        <w:ind w:left="210" w:leftChars="100"/>
        <w:jc w:val="left"/>
        <w:rPr>
          <w:rFonts w:hint="eastAsia" w:ascii="宋体" w:hAnsi="宋体"/>
          <w:color w:val="auto"/>
          <w:kern w:val="0"/>
          <w:sz w:val="24"/>
          <w:highlight w:val="none"/>
          <w:lang w:bidi="ar"/>
        </w:rPr>
      </w:pPr>
    </w:p>
    <w:p w14:paraId="115BD762">
      <w:pPr>
        <w:widowControl/>
        <w:spacing w:line="520" w:lineRule="exact"/>
        <w:ind w:left="210" w:leftChars="1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致</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（代理机构）： </w:t>
      </w:r>
    </w:p>
    <w:p w14:paraId="6194244D">
      <w:pPr>
        <w:widowControl/>
        <w:spacing w:line="520" w:lineRule="exact"/>
        <w:ind w:left="210" w:leftChars="100" w:firstLine="480" w:firstLineChars="2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我们在贵公司组织的</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（项目名称）中若获成交，我们保证按磋商文件的规定，向贵公司一次性支付招标代理服务费用。否则，由此产生的一切法律后果和责任由我公司承担。我公司声明放弃对此提出任何异议和追索的权利。 </w:t>
      </w:r>
    </w:p>
    <w:p w14:paraId="7C1C7AC5">
      <w:pPr>
        <w:widowControl/>
        <w:spacing w:line="520" w:lineRule="exact"/>
        <w:ind w:left="210" w:leftChars="1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 xml:space="preserve">特此承诺。 </w:t>
      </w:r>
    </w:p>
    <w:p w14:paraId="4B6F2C98">
      <w:pPr>
        <w:widowControl/>
        <w:spacing w:line="520" w:lineRule="exact"/>
        <w:ind w:left="210" w:leftChars="100"/>
        <w:jc w:val="left"/>
        <w:rPr>
          <w:rFonts w:hint="eastAsia" w:ascii="宋体" w:hAnsi="宋体"/>
          <w:color w:val="auto"/>
          <w:kern w:val="0"/>
          <w:sz w:val="24"/>
          <w:highlight w:val="none"/>
          <w:lang w:bidi="ar"/>
        </w:rPr>
      </w:pPr>
    </w:p>
    <w:p w14:paraId="437C3E4F">
      <w:pPr>
        <w:widowControl/>
        <w:spacing w:line="520" w:lineRule="exact"/>
        <w:ind w:left="210" w:leftChars="100"/>
        <w:jc w:val="left"/>
        <w:rPr>
          <w:rFonts w:hint="eastAsia" w:ascii="宋体" w:hAnsi="宋体"/>
          <w:color w:val="auto"/>
          <w:kern w:val="0"/>
          <w:sz w:val="24"/>
          <w:highlight w:val="none"/>
          <w:lang w:bidi="ar"/>
        </w:rPr>
      </w:pPr>
    </w:p>
    <w:p w14:paraId="22ABDE86">
      <w:pPr>
        <w:widowControl/>
        <w:spacing w:line="520" w:lineRule="exact"/>
        <w:ind w:left="210" w:leftChars="100"/>
        <w:jc w:val="left"/>
        <w:rPr>
          <w:rFonts w:hint="eastAsia" w:ascii="宋体" w:hAnsi="宋体"/>
          <w:color w:val="auto"/>
          <w:kern w:val="0"/>
          <w:sz w:val="24"/>
          <w:highlight w:val="none"/>
          <w:lang w:bidi="ar"/>
        </w:rPr>
      </w:pPr>
    </w:p>
    <w:p w14:paraId="34CBBEE6">
      <w:pPr>
        <w:widowControl/>
        <w:spacing w:line="520" w:lineRule="exact"/>
        <w:ind w:firstLine="3360" w:firstLineChars="14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供应商名称：</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（电子签章） </w:t>
      </w:r>
    </w:p>
    <w:p w14:paraId="039DC2C3">
      <w:pPr>
        <w:widowControl/>
        <w:spacing w:line="520" w:lineRule="exact"/>
        <w:ind w:firstLine="3360" w:firstLineChars="14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法定代表人：</w:t>
      </w:r>
      <w:r>
        <w:rPr>
          <w:rFonts w:hint="eastAsia" w:ascii="宋体" w:hAnsi="宋体"/>
          <w:color w:val="auto"/>
          <w:kern w:val="0"/>
          <w:sz w:val="24"/>
          <w:highlight w:val="none"/>
          <w:u w:val="single"/>
          <w:lang w:bidi="ar"/>
        </w:rPr>
        <w:t xml:space="preserve">                 </w:t>
      </w:r>
      <w:r>
        <w:rPr>
          <w:rFonts w:hint="eastAsia" w:ascii="宋体" w:hAnsi="宋体"/>
          <w:color w:val="auto"/>
          <w:kern w:val="0"/>
          <w:sz w:val="24"/>
          <w:highlight w:val="none"/>
          <w:lang w:bidi="ar"/>
        </w:rPr>
        <w:t xml:space="preserve">（电子签章） </w:t>
      </w:r>
    </w:p>
    <w:p w14:paraId="0D9C51F4">
      <w:pPr>
        <w:widowControl/>
        <w:spacing w:line="520" w:lineRule="exact"/>
        <w:ind w:left="210" w:leftChars="100" w:firstLine="3120" w:firstLineChars="1300"/>
        <w:jc w:val="left"/>
        <w:rPr>
          <w:rFonts w:hint="eastAsia" w:ascii="宋体" w:hAnsi="宋体"/>
          <w:color w:val="auto"/>
          <w:kern w:val="0"/>
          <w:sz w:val="24"/>
          <w:highlight w:val="none"/>
          <w:lang w:bidi="ar"/>
        </w:rPr>
      </w:pPr>
      <w:r>
        <w:rPr>
          <w:rFonts w:hint="eastAsia" w:ascii="宋体" w:hAnsi="宋体"/>
          <w:color w:val="auto"/>
          <w:kern w:val="0"/>
          <w:sz w:val="24"/>
          <w:highlight w:val="none"/>
          <w:lang w:bidi="ar"/>
        </w:rPr>
        <w:t xml:space="preserve">       年    月   日</w:t>
      </w:r>
    </w:p>
    <w:p w14:paraId="64239978">
      <w:pPr>
        <w:spacing w:line="520" w:lineRule="exact"/>
        <w:ind w:firstLine="2409" w:firstLineChars="1000"/>
        <w:rPr>
          <w:rFonts w:hint="eastAsia" w:ascii="宋体" w:hAnsi="宋体"/>
          <w:b/>
          <w:bCs/>
          <w:color w:val="auto"/>
          <w:sz w:val="24"/>
          <w:highlight w:val="none"/>
        </w:rPr>
      </w:pPr>
    </w:p>
    <w:p w14:paraId="066CA152">
      <w:pPr>
        <w:spacing w:line="520" w:lineRule="exact"/>
        <w:ind w:firstLine="2409" w:firstLineChars="1000"/>
        <w:rPr>
          <w:rFonts w:hint="eastAsia" w:ascii="宋体" w:hAnsi="宋体"/>
          <w:b/>
          <w:bCs/>
          <w:color w:val="auto"/>
          <w:sz w:val="24"/>
          <w:highlight w:val="none"/>
        </w:rPr>
      </w:pPr>
    </w:p>
    <w:p w14:paraId="431D3C0E">
      <w:pPr>
        <w:spacing w:line="520" w:lineRule="exact"/>
        <w:ind w:firstLine="2409" w:firstLineChars="1000"/>
        <w:rPr>
          <w:rFonts w:hint="eastAsia" w:ascii="宋体" w:hAnsi="宋体"/>
          <w:b/>
          <w:bCs/>
          <w:color w:val="auto"/>
          <w:sz w:val="24"/>
          <w:highlight w:val="none"/>
        </w:rPr>
      </w:pPr>
    </w:p>
    <w:p w14:paraId="363CC93F">
      <w:pPr>
        <w:spacing w:line="520" w:lineRule="exact"/>
        <w:ind w:firstLine="2409" w:firstLineChars="1000"/>
        <w:rPr>
          <w:rFonts w:hint="eastAsia" w:ascii="宋体" w:hAnsi="宋体"/>
          <w:b/>
          <w:bCs/>
          <w:color w:val="auto"/>
          <w:sz w:val="24"/>
          <w:highlight w:val="none"/>
        </w:rPr>
      </w:pPr>
    </w:p>
    <w:p w14:paraId="2FB249CF">
      <w:pPr>
        <w:spacing w:line="520" w:lineRule="exact"/>
        <w:ind w:firstLine="2409" w:firstLineChars="1000"/>
        <w:rPr>
          <w:rFonts w:hint="eastAsia" w:ascii="宋体" w:hAnsi="宋体"/>
          <w:b/>
          <w:bCs/>
          <w:color w:val="auto"/>
          <w:sz w:val="24"/>
          <w:highlight w:val="none"/>
        </w:rPr>
      </w:pPr>
    </w:p>
    <w:p w14:paraId="08CC749C">
      <w:pPr>
        <w:spacing w:line="520" w:lineRule="exact"/>
        <w:ind w:firstLine="2409" w:firstLineChars="1000"/>
        <w:rPr>
          <w:rFonts w:hint="eastAsia" w:ascii="宋体" w:hAnsi="宋体"/>
          <w:b/>
          <w:bCs/>
          <w:color w:val="auto"/>
          <w:sz w:val="24"/>
          <w:highlight w:val="none"/>
        </w:rPr>
      </w:pPr>
    </w:p>
    <w:p w14:paraId="0C8A3328">
      <w:pPr>
        <w:spacing w:line="520" w:lineRule="exact"/>
        <w:ind w:firstLine="2409" w:firstLineChars="1000"/>
        <w:rPr>
          <w:rFonts w:hint="eastAsia" w:ascii="宋体" w:hAnsi="宋体"/>
          <w:b/>
          <w:bCs/>
          <w:color w:val="auto"/>
          <w:sz w:val="24"/>
          <w:highlight w:val="none"/>
        </w:rPr>
      </w:pPr>
    </w:p>
    <w:p w14:paraId="7AAE4481">
      <w:pPr>
        <w:spacing w:line="520" w:lineRule="exact"/>
        <w:ind w:firstLine="2409" w:firstLineChars="1000"/>
        <w:rPr>
          <w:rFonts w:hint="eastAsia" w:ascii="宋体" w:hAnsi="宋体"/>
          <w:b/>
          <w:bCs/>
          <w:color w:val="auto"/>
          <w:sz w:val="24"/>
          <w:highlight w:val="none"/>
        </w:rPr>
      </w:pPr>
    </w:p>
    <w:p w14:paraId="0B9D592C">
      <w:pPr>
        <w:spacing w:line="520" w:lineRule="exact"/>
        <w:ind w:firstLine="2409" w:firstLineChars="1000"/>
        <w:rPr>
          <w:rFonts w:hint="eastAsia" w:ascii="宋体" w:hAnsi="宋体"/>
          <w:b/>
          <w:bCs/>
          <w:color w:val="auto"/>
          <w:sz w:val="24"/>
          <w:highlight w:val="none"/>
        </w:rPr>
      </w:pPr>
    </w:p>
    <w:p w14:paraId="7CE688A3">
      <w:pPr>
        <w:spacing w:line="520" w:lineRule="exact"/>
        <w:ind w:firstLine="2409" w:firstLineChars="1000"/>
        <w:rPr>
          <w:rFonts w:hint="eastAsia" w:ascii="宋体" w:hAnsi="宋体"/>
          <w:b/>
          <w:bCs/>
          <w:color w:val="auto"/>
          <w:sz w:val="24"/>
          <w:highlight w:val="none"/>
        </w:rPr>
      </w:pPr>
    </w:p>
    <w:p w14:paraId="68FC8A19">
      <w:pPr>
        <w:spacing w:line="520" w:lineRule="exact"/>
        <w:ind w:firstLine="2409" w:firstLineChars="1000"/>
        <w:rPr>
          <w:rFonts w:hint="eastAsia" w:ascii="宋体" w:hAnsi="宋体"/>
          <w:b/>
          <w:bCs/>
          <w:color w:val="auto"/>
          <w:sz w:val="24"/>
          <w:highlight w:val="none"/>
        </w:rPr>
      </w:pPr>
    </w:p>
    <w:p w14:paraId="2BC52DAE">
      <w:pPr>
        <w:spacing w:line="520" w:lineRule="exact"/>
        <w:ind w:firstLine="2409" w:firstLineChars="1000"/>
        <w:rPr>
          <w:rFonts w:hint="eastAsia" w:ascii="宋体" w:hAnsi="宋体"/>
          <w:b/>
          <w:bCs/>
          <w:color w:val="auto"/>
          <w:sz w:val="24"/>
          <w:highlight w:val="none"/>
        </w:rPr>
      </w:pPr>
    </w:p>
    <w:p w14:paraId="4EAD2DA3">
      <w:pPr>
        <w:spacing w:line="520" w:lineRule="exact"/>
        <w:ind w:firstLine="2409" w:firstLineChars="1000"/>
        <w:rPr>
          <w:rFonts w:hint="eastAsia" w:ascii="宋体" w:hAnsi="宋体"/>
          <w:b/>
          <w:bCs/>
          <w:color w:val="auto"/>
          <w:sz w:val="24"/>
          <w:highlight w:val="none"/>
        </w:rPr>
      </w:pPr>
    </w:p>
    <w:p w14:paraId="610DDB5E">
      <w:pPr>
        <w:spacing w:line="520" w:lineRule="exact"/>
        <w:ind w:firstLine="2409" w:firstLineChars="1000"/>
        <w:rPr>
          <w:rFonts w:hint="eastAsia" w:ascii="宋体" w:hAnsi="宋体"/>
          <w:b/>
          <w:bCs/>
          <w:color w:val="auto"/>
          <w:sz w:val="24"/>
          <w:highlight w:val="none"/>
        </w:rPr>
      </w:pPr>
    </w:p>
    <w:p w14:paraId="4C563B69">
      <w:pPr>
        <w:spacing w:line="520" w:lineRule="exact"/>
        <w:ind w:firstLine="3373" w:firstLineChars="1400"/>
        <w:rPr>
          <w:rFonts w:hint="eastAsia" w:ascii="宋体" w:hAnsi="宋体"/>
          <w:b/>
          <w:bCs/>
          <w:color w:val="auto"/>
          <w:sz w:val="24"/>
          <w:highlight w:val="none"/>
        </w:rPr>
      </w:pPr>
      <w:r>
        <w:rPr>
          <w:rFonts w:hint="eastAsia" w:ascii="宋体" w:hAnsi="宋体"/>
          <w:b/>
          <w:bCs/>
          <w:color w:val="auto"/>
          <w:sz w:val="24"/>
          <w:highlight w:val="none"/>
        </w:rPr>
        <w:t>7.3</w:t>
      </w:r>
      <w:r>
        <w:rPr>
          <w:rFonts w:hint="eastAsia" w:ascii="宋体" w:hAnsi="宋体"/>
          <w:b/>
          <w:bCs/>
          <w:color w:val="auto"/>
          <w:sz w:val="24"/>
          <w:highlight w:val="none"/>
          <w:lang w:val="zh-CN"/>
        </w:rPr>
        <w:t>反商业贿赂承诺书</w:t>
      </w:r>
    </w:p>
    <w:p w14:paraId="16E6D41A">
      <w:pPr>
        <w:pStyle w:val="51"/>
        <w:spacing w:line="520" w:lineRule="exact"/>
        <w:ind w:firstLine="240"/>
        <w:rPr>
          <w:rFonts w:hint="eastAsia" w:ascii="宋体" w:hAnsi="宋体"/>
          <w:color w:val="auto"/>
          <w:sz w:val="24"/>
          <w:highlight w:val="none"/>
        </w:rPr>
      </w:pPr>
    </w:p>
    <w:p w14:paraId="5457498A">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我方承诺：</w:t>
      </w:r>
    </w:p>
    <w:p w14:paraId="57F71B44">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在</w:t>
      </w:r>
      <w:r>
        <w:rPr>
          <w:rFonts w:hint="eastAsia" w:ascii="宋体" w:hAnsi="宋体"/>
          <w:color w:val="auto"/>
          <w:sz w:val="24"/>
          <w:highlight w:val="none"/>
          <w:u w:val="single"/>
        </w:rPr>
        <w:t xml:space="preserve">                </w:t>
      </w:r>
      <w:r>
        <w:rPr>
          <w:rFonts w:hint="eastAsia" w:ascii="宋体" w:hAnsi="宋体"/>
          <w:color w:val="auto"/>
          <w:sz w:val="24"/>
          <w:highlight w:val="none"/>
          <w:lang w:val="zh-CN"/>
        </w:rPr>
        <w:t>（项目名称）</w:t>
      </w:r>
      <w:r>
        <w:rPr>
          <w:rFonts w:hint="eastAsia" w:ascii="宋体" w:hAnsi="宋体"/>
          <w:color w:val="auto"/>
          <w:sz w:val="24"/>
          <w:highlight w:val="none"/>
          <w:u w:val="single"/>
          <w:lang w:val="zh-CN"/>
        </w:rPr>
        <w:t>（采购编号： ）</w:t>
      </w:r>
      <w:r>
        <w:rPr>
          <w:rFonts w:hint="eastAsia" w:ascii="宋体" w:hAnsi="宋体"/>
          <w:color w:val="auto"/>
          <w:sz w:val="24"/>
          <w:highlight w:val="none"/>
          <w:lang w:val="zh-CN"/>
        </w:rPr>
        <w:t>招标活动中，我方保证做到：</w:t>
      </w:r>
    </w:p>
    <w:p w14:paraId="46BEC2A3">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一、公平参加本次招标活动。</w:t>
      </w:r>
    </w:p>
    <w:p w14:paraId="414E0BC5">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二、杜绝任何形式的商业贿赂行为。不向国家工作人员、代理机构工作人员、评审专家及其亲属提供礼品礼金、有价证券、购物券、回扣、佣金、咨询费、劳务费、赞助费、宣传费、宴请；不为其报销各种消费凭证，不支付其旅游、娱乐等费用。</w:t>
      </w:r>
    </w:p>
    <w:p w14:paraId="455C43F0">
      <w:pPr>
        <w:autoSpaceDE w:val="0"/>
        <w:autoSpaceDN w:val="0"/>
        <w:spacing w:line="520" w:lineRule="exact"/>
        <w:ind w:firstLine="720" w:firstLineChars="300"/>
        <w:jc w:val="left"/>
        <w:rPr>
          <w:rFonts w:hint="eastAsia" w:ascii="宋体" w:hAnsi="宋体"/>
          <w:color w:val="auto"/>
          <w:sz w:val="24"/>
          <w:highlight w:val="none"/>
          <w:lang w:val="zh-CN"/>
        </w:rPr>
      </w:pPr>
      <w:r>
        <w:rPr>
          <w:rFonts w:hint="eastAsia" w:ascii="宋体" w:hAnsi="宋体"/>
          <w:color w:val="auto"/>
          <w:sz w:val="24"/>
          <w:highlight w:val="none"/>
          <w:lang w:val="zh-CN"/>
        </w:rPr>
        <w:t>三、若出现上述行为，我方及参与投标的工作人员愿意接受按照国家法律法规等有关规定给予的处罚。</w:t>
      </w:r>
    </w:p>
    <w:p w14:paraId="45C5D398">
      <w:pPr>
        <w:spacing w:line="520" w:lineRule="exact"/>
        <w:ind w:left="645"/>
        <w:rPr>
          <w:rFonts w:hint="eastAsia" w:ascii="宋体" w:hAnsi="宋体"/>
          <w:color w:val="auto"/>
          <w:sz w:val="24"/>
          <w:highlight w:val="none"/>
        </w:rPr>
      </w:pPr>
    </w:p>
    <w:p w14:paraId="133D6E99">
      <w:pPr>
        <w:spacing w:line="520" w:lineRule="exact"/>
        <w:ind w:left="645"/>
        <w:rPr>
          <w:rFonts w:hint="eastAsia" w:ascii="宋体" w:hAnsi="宋体"/>
          <w:color w:val="auto"/>
          <w:sz w:val="24"/>
          <w:highlight w:val="none"/>
        </w:rPr>
      </w:pPr>
    </w:p>
    <w:p w14:paraId="6AE933A6">
      <w:pPr>
        <w:spacing w:line="520" w:lineRule="exact"/>
        <w:ind w:left="645"/>
        <w:rPr>
          <w:rFonts w:hint="eastAsia" w:ascii="宋体" w:hAnsi="宋体"/>
          <w:color w:val="auto"/>
          <w:sz w:val="24"/>
          <w:highlight w:val="none"/>
        </w:rPr>
      </w:pPr>
    </w:p>
    <w:p w14:paraId="18FFFD7B">
      <w:pPr>
        <w:spacing w:line="520" w:lineRule="exact"/>
        <w:ind w:left="645"/>
        <w:rPr>
          <w:rFonts w:hint="eastAsia" w:ascii="宋体" w:hAnsi="宋体"/>
          <w:color w:val="auto"/>
          <w:sz w:val="24"/>
          <w:highlight w:val="none"/>
        </w:rPr>
      </w:pPr>
    </w:p>
    <w:p w14:paraId="4C2CC1A8">
      <w:pPr>
        <w:spacing w:line="520" w:lineRule="exact"/>
        <w:ind w:left="645"/>
        <w:rPr>
          <w:rFonts w:hint="eastAsia" w:ascii="宋体" w:hAnsi="宋体"/>
          <w:color w:val="auto"/>
          <w:sz w:val="24"/>
          <w:highlight w:val="none"/>
        </w:rPr>
      </w:pPr>
    </w:p>
    <w:p w14:paraId="50B2640A">
      <w:pPr>
        <w:spacing w:line="520" w:lineRule="exact"/>
        <w:ind w:left="646" w:firstLine="2400" w:firstLineChars="1000"/>
        <w:rPr>
          <w:rFonts w:hint="eastAsia" w:ascii="宋体" w:hAnsi="宋体"/>
          <w:color w:val="auto"/>
          <w:sz w:val="24"/>
          <w:highlight w:val="none"/>
        </w:rPr>
      </w:pPr>
      <w:bookmarkStart w:id="333" w:name="_Toc21130"/>
      <w:bookmarkStart w:id="334" w:name="_Toc10133"/>
      <w:r>
        <w:rPr>
          <w:rFonts w:hint="eastAsia" w:ascii="宋体" w:hAnsi="宋体"/>
          <w:color w:val="auto"/>
          <w:sz w:val="24"/>
          <w:highlight w:val="none"/>
        </w:rPr>
        <w:t>供应商名称：</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bookmarkEnd w:id="333"/>
      <w:bookmarkEnd w:id="334"/>
    </w:p>
    <w:p w14:paraId="4F6B0720">
      <w:pPr>
        <w:spacing w:line="520" w:lineRule="exact"/>
        <w:ind w:left="646" w:firstLine="2400" w:firstLineChars="1000"/>
        <w:rPr>
          <w:rFonts w:hint="eastAsia" w:ascii="宋体" w:hAnsi="宋体"/>
          <w:color w:val="auto"/>
          <w:sz w:val="24"/>
          <w:highlight w:val="none"/>
        </w:rPr>
      </w:pPr>
      <w:r>
        <w:rPr>
          <w:rFonts w:hint="eastAsia" w:ascii="宋体" w:hAnsi="宋体"/>
          <w:color w:val="auto"/>
          <w:sz w:val="24"/>
          <w:highlight w:val="none"/>
        </w:rPr>
        <w:t>法定代表人：</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70860E34">
      <w:pPr>
        <w:spacing w:line="520" w:lineRule="exact"/>
        <w:ind w:left="646"/>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w:t>
      </w:r>
      <w:r>
        <w:rPr>
          <w:rFonts w:hint="eastAsia" w:ascii="宋体" w:hAnsi="宋体"/>
          <w:color w:val="auto"/>
          <w:sz w:val="24"/>
          <w:highlight w:val="none"/>
        </w:rPr>
        <w:t>月</w:t>
      </w:r>
      <w:r>
        <w:rPr>
          <w:rFonts w:hint="eastAsia" w:ascii="宋体" w:hAnsi="宋体"/>
          <w:color w:val="auto"/>
          <w:sz w:val="24"/>
          <w:highlight w:val="none"/>
          <w:u w:val="single"/>
        </w:rPr>
        <w:t>　  　</w:t>
      </w:r>
      <w:r>
        <w:rPr>
          <w:rFonts w:hint="eastAsia" w:ascii="宋体" w:hAnsi="宋体"/>
          <w:color w:val="auto"/>
          <w:sz w:val="24"/>
          <w:highlight w:val="none"/>
        </w:rPr>
        <w:t>日</w:t>
      </w:r>
    </w:p>
    <w:p w14:paraId="0941555E">
      <w:pPr>
        <w:spacing w:line="520" w:lineRule="exact"/>
        <w:rPr>
          <w:rFonts w:hint="eastAsia" w:ascii="宋体" w:hAnsi="宋体"/>
          <w:color w:val="auto"/>
          <w:sz w:val="24"/>
          <w:highlight w:val="none"/>
        </w:rPr>
      </w:pPr>
    </w:p>
    <w:p w14:paraId="74EBD16B">
      <w:pPr>
        <w:spacing w:line="520" w:lineRule="exact"/>
        <w:rPr>
          <w:rFonts w:hint="eastAsia" w:ascii="宋体" w:hAnsi="宋体"/>
          <w:color w:val="auto"/>
          <w:sz w:val="24"/>
          <w:highlight w:val="none"/>
        </w:rPr>
      </w:pPr>
    </w:p>
    <w:p w14:paraId="6B8CAD22">
      <w:pPr>
        <w:spacing w:line="520" w:lineRule="exact"/>
        <w:jc w:val="center"/>
        <w:rPr>
          <w:rFonts w:hint="eastAsia" w:ascii="宋体" w:hAnsi="宋体"/>
          <w:b/>
          <w:bCs/>
          <w:color w:val="auto"/>
          <w:sz w:val="24"/>
          <w:highlight w:val="none"/>
          <w:lang w:val="zh-CN"/>
        </w:rPr>
        <w:sectPr>
          <w:headerReference r:id="rId6" w:type="first"/>
          <w:footerReference r:id="rId8" w:type="first"/>
          <w:headerReference r:id="rId5" w:type="default"/>
          <w:footerReference r:id="rId7" w:type="default"/>
          <w:pgSz w:w="11906" w:h="16838"/>
          <w:pgMar w:top="1361" w:right="1142" w:bottom="1304" w:left="1304" w:header="851" w:footer="992" w:gutter="0"/>
          <w:cols w:space="720" w:num="1"/>
          <w:titlePg/>
          <w:docGrid w:type="lines" w:linePitch="312" w:charSpace="0"/>
        </w:sectPr>
      </w:pPr>
    </w:p>
    <w:p w14:paraId="272B56B8">
      <w:pPr>
        <w:spacing w:line="520" w:lineRule="exact"/>
        <w:ind w:left="37"/>
        <w:jc w:val="center"/>
        <w:rPr>
          <w:rFonts w:hint="eastAsia" w:ascii="宋体" w:hAnsi="宋体"/>
          <w:b/>
          <w:bCs/>
          <w:color w:val="auto"/>
          <w:sz w:val="24"/>
          <w:highlight w:val="none"/>
        </w:rPr>
      </w:pPr>
    </w:p>
    <w:p w14:paraId="006AEF53">
      <w:pPr>
        <w:spacing w:line="520" w:lineRule="exact"/>
        <w:ind w:left="37"/>
        <w:jc w:val="center"/>
        <w:rPr>
          <w:rFonts w:hint="eastAsia" w:ascii="宋体" w:hAnsi="宋体"/>
          <w:b/>
          <w:bCs/>
          <w:color w:val="auto"/>
          <w:sz w:val="24"/>
          <w:highlight w:val="none"/>
        </w:rPr>
      </w:pPr>
      <w:r>
        <w:rPr>
          <w:rFonts w:hint="eastAsia" w:ascii="宋体" w:hAnsi="宋体"/>
          <w:b/>
          <w:bCs/>
          <w:color w:val="auto"/>
          <w:sz w:val="24"/>
          <w:highlight w:val="none"/>
        </w:rPr>
        <w:t>7.4竞争性磋商文件要求或供应商认为需要提供的其他材料</w:t>
      </w:r>
    </w:p>
    <w:p w14:paraId="35E6A31E">
      <w:pPr>
        <w:spacing w:line="520" w:lineRule="exact"/>
        <w:rPr>
          <w:rFonts w:hint="eastAsia" w:ascii="宋体" w:hAnsi="宋体"/>
          <w:color w:val="auto"/>
          <w:kern w:val="0"/>
          <w:sz w:val="24"/>
          <w:highlight w:val="none"/>
        </w:rPr>
      </w:pPr>
    </w:p>
    <w:p w14:paraId="3EC59FD0">
      <w:pPr>
        <w:widowControl/>
        <w:spacing w:line="520" w:lineRule="exact"/>
        <w:jc w:val="left"/>
        <w:rPr>
          <w:rFonts w:hint="eastAsia" w:ascii="宋体" w:hAnsi="宋体"/>
          <w:color w:val="auto"/>
          <w:kern w:val="0"/>
          <w:sz w:val="24"/>
          <w:highlight w:val="none"/>
        </w:rPr>
      </w:pPr>
      <w:r>
        <w:rPr>
          <w:rFonts w:hint="eastAsia" w:ascii="宋体" w:hAnsi="宋体"/>
          <w:color w:val="auto"/>
          <w:kern w:val="0"/>
          <w:sz w:val="24"/>
          <w:highlight w:val="none"/>
        </w:rPr>
        <w:br w:type="page"/>
      </w:r>
      <w:r>
        <w:rPr>
          <w:rFonts w:hint="eastAsia" w:ascii="宋体" w:hAnsi="宋体"/>
          <w:b/>
          <w:bCs/>
          <w:color w:val="auto"/>
          <w:kern w:val="0"/>
          <w:sz w:val="24"/>
          <w:highlight w:val="none"/>
        </w:rPr>
        <w:t>附件：</w:t>
      </w:r>
    </w:p>
    <w:p w14:paraId="70C9A915">
      <w:pPr>
        <w:widowControl/>
        <w:spacing w:line="520" w:lineRule="exact"/>
        <w:ind w:firstLine="3614" w:firstLineChars="1500"/>
        <w:jc w:val="left"/>
        <w:rPr>
          <w:rFonts w:hint="eastAsia" w:ascii="宋体" w:hAnsi="宋体"/>
          <w:b/>
          <w:bCs/>
          <w:color w:val="auto"/>
          <w:sz w:val="24"/>
          <w:highlight w:val="none"/>
        </w:rPr>
      </w:pPr>
      <w:r>
        <w:rPr>
          <w:rFonts w:hint="eastAsia" w:ascii="宋体" w:hAnsi="宋体"/>
          <w:b/>
          <w:bCs/>
          <w:color w:val="auto"/>
          <w:sz w:val="24"/>
          <w:highlight w:val="none"/>
        </w:rPr>
        <w:t>（一）中小企业声明函</w:t>
      </w:r>
    </w:p>
    <w:p w14:paraId="49DACB40">
      <w:pPr>
        <w:pStyle w:val="33"/>
        <w:spacing w:before="30" w:line="360" w:lineRule="auto"/>
        <w:jc w:val="center"/>
        <w:rPr>
          <w:rFonts w:hint="eastAsia" w:ascii="宋体" w:hAnsi="宋体"/>
          <w:color w:val="auto"/>
          <w:spacing w:val="-2"/>
          <w:sz w:val="24"/>
          <w:highlight w:val="none"/>
        </w:rPr>
      </w:pPr>
      <w:r>
        <w:rPr>
          <w:rFonts w:hint="eastAsia" w:ascii="宋体" w:hAnsi="宋体"/>
          <w:color w:val="auto"/>
          <w:spacing w:val="-2"/>
          <w:sz w:val="24"/>
          <w:highlight w:val="none"/>
        </w:rPr>
        <w:t>中小企业声明函</w:t>
      </w:r>
      <w:r>
        <w:rPr>
          <w:rFonts w:hint="eastAsia" w:ascii="仿宋" w:hAnsi="仿宋" w:eastAsia="仿宋"/>
          <w:b/>
          <w:bCs/>
          <w:color w:val="auto"/>
          <w:sz w:val="24"/>
          <w:highlight w:val="none"/>
        </w:rPr>
        <w:t>（</w:t>
      </w:r>
      <w:r>
        <w:rPr>
          <w:rFonts w:hint="eastAsia"/>
          <w:b/>
          <w:bCs/>
          <w:color w:val="auto"/>
          <w:sz w:val="24"/>
          <w:highlight w:val="none"/>
        </w:rPr>
        <w:t>工程、服务</w:t>
      </w:r>
      <w:r>
        <w:rPr>
          <w:rFonts w:hint="eastAsia" w:ascii="仿宋" w:hAnsi="仿宋" w:eastAsia="仿宋"/>
          <w:b/>
          <w:bCs/>
          <w:color w:val="auto"/>
          <w:sz w:val="24"/>
          <w:highlight w:val="none"/>
        </w:rPr>
        <w:t>）</w:t>
      </w:r>
    </w:p>
    <w:p w14:paraId="547BD4F5">
      <w:pPr>
        <w:pStyle w:val="33"/>
        <w:spacing w:before="55" w:line="520" w:lineRule="exact"/>
        <w:ind w:right="415" w:firstLine="640"/>
        <w:rPr>
          <w:rFonts w:hint="eastAsia" w:ascii="宋体" w:hAnsi="宋体"/>
          <w:color w:val="auto"/>
          <w:spacing w:val="-2"/>
          <w:sz w:val="24"/>
          <w:highlight w:val="none"/>
        </w:rPr>
      </w:pPr>
      <w:r>
        <w:rPr>
          <w:rFonts w:hint="eastAsia" w:ascii="宋体" w:hAnsi="宋体"/>
          <w:color w:val="auto"/>
          <w:spacing w:val="-2"/>
          <w:sz w:val="24"/>
          <w:highlight w:val="none"/>
        </w:rPr>
        <w:t>本公司</w:t>
      </w:r>
      <w:r>
        <w:rPr>
          <w:rFonts w:hint="eastAsia" w:ascii="宋体" w:hAnsi="宋体"/>
          <w:color w:val="auto"/>
          <w:sz w:val="24"/>
          <w:highlight w:val="none"/>
        </w:rPr>
        <w:t>（联合体</w:t>
      </w:r>
      <w:r>
        <w:rPr>
          <w:rFonts w:hint="eastAsia" w:ascii="宋体" w:hAnsi="宋体"/>
          <w:color w:val="auto"/>
          <w:spacing w:val="-5"/>
          <w:sz w:val="24"/>
          <w:highlight w:val="none"/>
        </w:rPr>
        <w:t>）</w:t>
      </w:r>
      <w:r>
        <w:rPr>
          <w:rFonts w:hint="eastAsia" w:ascii="宋体" w:hAnsi="宋体"/>
          <w:color w:val="auto"/>
          <w:spacing w:val="-2"/>
          <w:sz w:val="24"/>
          <w:highlight w:val="none"/>
        </w:rPr>
        <w:t>郑重声明，根据《政府采购促进中小</w:t>
      </w:r>
      <w:r>
        <w:rPr>
          <w:rFonts w:hint="eastAsia" w:ascii="宋体" w:hAnsi="宋体"/>
          <w:color w:val="auto"/>
          <w:spacing w:val="-18"/>
          <w:sz w:val="24"/>
          <w:highlight w:val="none"/>
        </w:rPr>
        <w:t>企业发展管理办法》</w:t>
      </w:r>
      <w:r>
        <w:rPr>
          <w:rFonts w:hint="eastAsia" w:ascii="宋体" w:hAnsi="宋体"/>
          <w:color w:val="auto"/>
          <w:sz w:val="24"/>
          <w:highlight w:val="none"/>
        </w:rPr>
        <w:t>（</w:t>
      </w:r>
      <w:r>
        <w:rPr>
          <w:rFonts w:hint="eastAsia" w:ascii="宋体" w:hAnsi="宋体"/>
          <w:color w:val="auto"/>
          <w:spacing w:val="5"/>
          <w:sz w:val="24"/>
          <w:highlight w:val="none"/>
        </w:rPr>
        <w:t>财库</w:t>
      </w:r>
      <w:r>
        <w:rPr>
          <w:rFonts w:hint="eastAsia" w:ascii="宋体" w:hAnsi="宋体"/>
          <w:color w:val="auto"/>
          <w:sz w:val="24"/>
          <w:highlight w:val="none"/>
        </w:rPr>
        <w:t>﹝2020﹞46</w:t>
      </w:r>
      <w:r>
        <w:rPr>
          <w:rFonts w:hint="eastAsia" w:ascii="宋体" w:hAnsi="宋体"/>
          <w:color w:val="auto"/>
          <w:spacing w:val="-38"/>
          <w:sz w:val="24"/>
          <w:highlight w:val="none"/>
        </w:rPr>
        <w:t xml:space="preserve"> 号</w:t>
      </w:r>
      <w:r>
        <w:rPr>
          <w:rFonts w:hint="eastAsia" w:ascii="宋体" w:hAnsi="宋体"/>
          <w:color w:val="auto"/>
          <w:spacing w:val="5"/>
          <w:sz w:val="24"/>
          <w:highlight w:val="none"/>
        </w:rPr>
        <w:t>）</w:t>
      </w:r>
      <w:r>
        <w:rPr>
          <w:rFonts w:hint="eastAsia" w:ascii="宋体" w:hAnsi="宋体"/>
          <w:color w:val="auto"/>
          <w:sz w:val="24"/>
          <w:highlight w:val="none"/>
        </w:rPr>
        <w:t>的规定，本公司（联合体）</w:t>
      </w:r>
      <w:r>
        <w:rPr>
          <w:rFonts w:hint="eastAsia" w:ascii="宋体" w:hAnsi="宋体"/>
          <w:color w:val="auto"/>
          <w:spacing w:val="-8"/>
          <w:sz w:val="24"/>
          <w:highlight w:val="none"/>
        </w:rPr>
        <w:t>参加</w:t>
      </w:r>
      <w:r>
        <w:rPr>
          <w:rFonts w:hint="eastAsia" w:ascii="宋体" w:hAnsi="宋体"/>
          <w:color w:val="auto"/>
          <w:spacing w:val="-8"/>
          <w:sz w:val="24"/>
          <w:highlight w:val="none"/>
          <w:u w:val="single"/>
        </w:rPr>
        <w:t xml:space="preserve"> (</w:t>
      </w:r>
      <w:r>
        <w:rPr>
          <w:rFonts w:hint="eastAsia" w:ascii="宋体" w:hAnsi="宋体"/>
          <w:color w:val="auto"/>
          <w:spacing w:val="-2"/>
          <w:sz w:val="24"/>
          <w:highlight w:val="none"/>
          <w:u w:val="single"/>
        </w:rPr>
        <w:t>单位</w:t>
      </w:r>
      <w:r>
        <w:rPr>
          <w:rFonts w:hint="eastAsia" w:ascii="宋体" w:hAnsi="宋体"/>
          <w:color w:val="auto"/>
          <w:spacing w:val="-8"/>
          <w:sz w:val="24"/>
          <w:highlight w:val="none"/>
          <w:u w:val="single"/>
        </w:rPr>
        <w:t xml:space="preserve">名称) </w:t>
      </w:r>
      <w:r>
        <w:rPr>
          <w:rFonts w:hint="eastAsia" w:ascii="宋体" w:hAnsi="宋体"/>
          <w:color w:val="auto"/>
          <w:spacing w:val="-8"/>
          <w:sz w:val="24"/>
          <w:highlight w:val="none"/>
        </w:rPr>
        <w:t>的</w:t>
      </w:r>
      <w:r>
        <w:rPr>
          <w:rFonts w:hint="eastAsia" w:ascii="宋体" w:hAnsi="宋体"/>
          <w:color w:val="auto"/>
          <w:spacing w:val="-8"/>
          <w:sz w:val="24"/>
          <w:highlight w:val="none"/>
          <w:u w:val="single"/>
        </w:rPr>
        <w:t xml:space="preserve"> （项目名称） </w:t>
      </w:r>
      <w:r>
        <w:rPr>
          <w:rFonts w:hint="eastAsia" w:ascii="宋体" w:hAnsi="宋体"/>
          <w:color w:val="auto"/>
          <w:spacing w:val="-1"/>
          <w:sz w:val="24"/>
          <w:highlight w:val="none"/>
        </w:rPr>
        <w:t>采购活动，工程的施工单位全部为符合政策要求的中小企业（或者：服务全部由符合政策要求的中小企业承接）。相关企业</w:t>
      </w:r>
      <w:r>
        <w:rPr>
          <w:rFonts w:hint="eastAsia" w:ascii="宋体" w:hAnsi="宋体"/>
          <w:color w:val="auto"/>
          <w:sz w:val="24"/>
          <w:highlight w:val="none"/>
        </w:rPr>
        <w:t>（含联合体中的中小企业、签订分包意向协议的中小企业） 的具体情况如下：</w:t>
      </w:r>
    </w:p>
    <w:p w14:paraId="0CF7A5B8">
      <w:pPr>
        <w:pStyle w:val="33"/>
        <w:spacing w:before="55" w:line="520" w:lineRule="exact"/>
        <w:ind w:right="415" w:firstLine="640"/>
        <w:rPr>
          <w:rFonts w:hint="eastAsia" w:ascii="宋体" w:hAnsi="宋体"/>
          <w:color w:val="auto"/>
          <w:spacing w:val="-8"/>
          <w:sz w:val="24"/>
          <w:highlight w:val="none"/>
          <w:u w:val="single"/>
        </w:rPr>
      </w:pPr>
      <w:r>
        <w:rPr>
          <w:rFonts w:hint="eastAsia" w:ascii="宋体" w:hAnsi="宋体"/>
          <w:color w:val="auto"/>
          <w:spacing w:val="-8"/>
          <w:sz w:val="24"/>
          <w:highlight w:val="none"/>
          <w:u w:val="single"/>
        </w:rPr>
        <w:t>1. （标的名称）</w:t>
      </w:r>
      <w:r>
        <w:rPr>
          <w:rFonts w:hint="eastAsia" w:ascii="宋体" w:hAnsi="宋体"/>
          <w:color w:val="auto"/>
          <w:spacing w:val="11"/>
          <w:w w:val="95"/>
          <w:sz w:val="24"/>
          <w:highlight w:val="none"/>
        </w:rPr>
        <w:t>，</w:t>
      </w:r>
      <w:r>
        <w:rPr>
          <w:rFonts w:hint="eastAsia" w:ascii="宋体" w:hAnsi="宋体"/>
          <w:color w:val="auto"/>
          <w:spacing w:val="-1"/>
          <w:sz w:val="24"/>
          <w:highlight w:val="none"/>
        </w:rPr>
        <w:t>属于</w:t>
      </w:r>
      <w:r>
        <w:rPr>
          <w:rFonts w:hint="eastAsia" w:ascii="宋体" w:hAnsi="宋体"/>
          <w:color w:val="auto"/>
          <w:spacing w:val="-8"/>
          <w:sz w:val="24"/>
          <w:highlight w:val="none"/>
          <w:u w:val="single"/>
        </w:rPr>
        <w:t>（采购文件中明确的所属行业）</w:t>
      </w:r>
      <w:r>
        <w:rPr>
          <w:rFonts w:hint="eastAsia" w:ascii="宋体" w:hAnsi="宋体"/>
          <w:color w:val="auto"/>
          <w:spacing w:val="11"/>
          <w:w w:val="95"/>
          <w:sz w:val="24"/>
          <w:highlight w:val="none"/>
        </w:rPr>
        <w:t>；</w:t>
      </w:r>
      <w:r>
        <w:rPr>
          <w:rFonts w:hint="eastAsia" w:ascii="宋体" w:hAnsi="宋体"/>
          <w:color w:val="auto"/>
          <w:spacing w:val="-1"/>
          <w:sz w:val="24"/>
          <w:highlight w:val="none"/>
        </w:rPr>
        <w:t>承建（承接）企业为</w:t>
      </w:r>
      <w:r>
        <w:rPr>
          <w:rFonts w:hint="eastAsia" w:ascii="宋体" w:hAnsi="宋体"/>
          <w:color w:val="auto"/>
          <w:spacing w:val="-8"/>
          <w:sz w:val="24"/>
          <w:highlight w:val="none"/>
          <w:u w:val="single"/>
        </w:rPr>
        <w:t>（企业名称）</w:t>
      </w:r>
      <w:r>
        <w:rPr>
          <w:rFonts w:hint="eastAsia" w:ascii="宋体" w:hAnsi="宋体"/>
          <w:color w:val="auto"/>
          <w:spacing w:val="11"/>
          <w:w w:val="95"/>
          <w:sz w:val="24"/>
          <w:highlight w:val="none"/>
        </w:rPr>
        <w:t>，</w:t>
      </w:r>
      <w:r>
        <w:rPr>
          <w:rFonts w:hint="eastAsia" w:ascii="宋体" w:hAnsi="宋体"/>
          <w:color w:val="auto"/>
          <w:spacing w:val="-1"/>
          <w:sz w:val="24"/>
          <w:highlight w:val="none"/>
        </w:rPr>
        <w:t>从业人员</w:t>
      </w:r>
      <w:r>
        <w:rPr>
          <w:rFonts w:hint="eastAsia" w:ascii="宋体" w:hAnsi="宋体"/>
          <w:color w:val="auto"/>
          <w:spacing w:val="11"/>
          <w:w w:val="95"/>
          <w:sz w:val="24"/>
          <w:highlight w:val="none"/>
          <w:u w:val="single"/>
        </w:rPr>
        <w:tab/>
      </w:r>
      <w:r>
        <w:rPr>
          <w:rFonts w:hint="eastAsia" w:ascii="宋体" w:hAnsi="宋体"/>
          <w:color w:val="auto"/>
          <w:spacing w:val="11"/>
          <w:w w:val="95"/>
          <w:sz w:val="24"/>
          <w:highlight w:val="none"/>
          <w:u w:val="single"/>
        </w:rPr>
        <w:t xml:space="preserve">     </w:t>
      </w:r>
      <w:r>
        <w:rPr>
          <w:rFonts w:hint="eastAsia" w:ascii="宋体" w:hAnsi="宋体"/>
          <w:color w:val="auto"/>
          <w:spacing w:val="-1"/>
          <w:sz w:val="24"/>
          <w:highlight w:val="none"/>
        </w:rPr>
        <w:t>人</w:t>
      </w:r>
      <w:r>
        <w:rPr>
          <w:rFonts w:hint="eastAsia" w:ascii="宋体" w:hAnsi="宋体"/>
          <w:color w:val="auto"/>
          <w:spacing w:val="11"/>
          <w:w w:val="95"/>
          <w:sz w:val="24"/>
          <w:highlight w:val="none"/>
        </w:rPr>
        <w:t>，</w:t>
      </w:r>
      <w:r>
        <w:rPr>
          <w:rFonts w:hint="eastAsia" w:ascii="宋体" w:hAnsi="宋体"/>
          <w:color w:val="auto"/>
          <w:spacing w:val="-1"/>
          <w:sz w:val="24"/>
          <w:highlight w:val="none"/>
        </w:rPr>
        <w:t>营业收入为</w:t>
      </w:r>
      <w:r>
        <w:rPr>
          <w:rFonts w:hint="eastAsia" w:ascii="宋体" w:hAnsi="宋体"/>
          <w:color w:val="auto"/>
          <w:spacing w:val="11"/>
          <w:w w:val="95"/>
          <w:sz w:val="24"/>
          <w:highlight w:val="none"/>
          <w:u w:val="single"/>
        </w:rPr>
        <w:t xml:space="preserve"> </w:t>
      </w:r>
      <w:r>
        <w:rPr>
          <w:rFonts w:hint="eastAsia" w:ascii="宋体" w:hAnsi="宋体"/>
          <w:color w:val="auto"/>
          <w:spacing w:val="11"/>
          <w:w w:val="95"/>
          <w:sz w:val="24"/>
          <w:highlight w:val="none"/>
          <w:u w:val="single"/>
        </w:rPr>
        <w:tab/>
      </w:r>
      <w:r>
        <w:rPr>
          <w:rFonts w:hint="eastAsia" w:ascii="宋体" w:hAnsi="宋体"/>
          <w:color w:val="auto"/>
          <w:spacing w:val="11"/>
          <w:w w:val="95"/>
          <w:sz w:val="24"/>
          <w:highlight w:val="none"/>
          <w:u w:val="single"/>
        </w:rPr>
        <w:t xml:space="preserve"> </w:t>
      </w:r>
      <w:r>
        <w:rPr>
          <w:rFonts w:hint="eastAsia" w:ascii="宋体" w:hAnsi="宋体"/>
          <w:color w:val="auto"/>
          <w:spacing w:val="-1"/>
          <w:sz w:val="24"/>
          <w:highlight w:val="none"/>
        </w:rPr>
        <w:t>万元，资产总额为</w:t>
      </w:r>
      <w:r>
        <w:rPr>
          <w:rFonts w:hint="eastAsia" w:ascii="宋体" w:hAnsi="宋体"/>
          <w:color w:val="auto"/>
          <w:spacing w:val="11"/>
          <w:w w:val="95"/>
          <w:sz w:val="24"/>
          <w:highlight w:val="none"/>
          <w:u w:val="single"/>
        </w:rPr>
        <w:t xml:space="preserve"> </w:t>
      </w:r>
      <w:r>
        <w:rPr>
          <w:rFonts w:hint="eastAsia" w:ascii="宋体" w:hAnsi="宋体"/>
          <w:color w:val="auto"/>
          <w:spacing w:val="11"/>
          <w:w w:val="95"/>
          <w:sz w:val="24"/>
          <w:highlight w:val="none"/>
          <w:u w:val="single"/>
        </w:rPr>
        <w:tab/>
      </w:r>
      <w:r>
        <w:rPr>
          <w:rFonts w:hint="eastAsia" w:ascii="宋体" w:hAnsi="宋体"/>
          <w:color w:val="auto"/>
          <w:spacing w:val="-1"/>
          <w:sz w:val="24"/>
          <w:highlight w:val="none"/>
        </w:rPr>
        <w:t>万元</w:t>
      </w:r>
      <w:r>
        <w:rPr>
          <w:rFonts w:hint="eastAsia" w:ascii="宋体" w:hAnsi="宋体"/>
          <w:color w:val="auto"/>
          <w:spacing w:val="11"/>
          <w:w w:val="95"/>
          <w:sz w:val="24"/>
          <w:highlight w:val="none"/>
        </w:rPr>
        <w:t>，属于</w:t>
      </w:r>
      <w:r>
        <w:rPr>
          <w:rFonts w:hint="eastAsia" w:ascii="宋体" w:hAnsi="宋体"/>
          <w:color w:val="auto"/>
          <w:spacing w:val="-8"/>
          <w:sz w:val="24"/>
          <w:highlight w:val="none"/>
          <w:u w:val="single"/>
        </w:rPr>
        <w:t>（中型企业、小型企业、微型企业）；</w:t>
      </w:r>
    </w:p>
    <w:p w14:paraId="24D65C53">
      <w:pPr>
        <w:pStyle w:val="33"/>
        <w:spacing w:before="55" w:line="520" w:lineRule="exact"/>
        <w:ind w:right="415" w:firstLine="640"/>
        <w:rPr>
          <w:rFonts w:hint="eastAsia" w:ascii="宋体" w:hAnsi="宋体"/>
          <w:color w:val="auto"/>
          <w:spacing w:val="11"/>
          <w:w w:val="95"/>
          <w:sz w:val="24"/>
          <w:highlight w:val="none"/>
        </w:rPr>
      </w:pPr>
      <w:r>
        <w:rPr>
          <w:rFonts w:hint="eastAsia" w:ascii="宋体" w:hAnsi="宋体"/>
          <w:color w:val="auto"/>
          <w:spacing w:val="11"/>
          <w:w w:val="95"/>
          <w:sz w:val="24"/>
          <w:highlight w:val="none"/>
        </w:rPr>
        <w:t>2.</w:t>
      </w:r>
      <w:r>
        <w:rPr>
          <w:rFonts w:hint="eastAsia" w:ascii="宋体" w:hAnsi="宋体"/>
          <w:color w:val="auto"/>
          <w:spacing w:val="-8"/>
          <w:sz w:val="24"/>
          <w:highlight w:val="none"/>
          <w:u w:val="single"/>
        </w:rPr>
        <w:t xml:space="preserve"> （标的名称），</w:t>
      </w:r>
      <w:r>
        <w:rPr>
          <w:rFonts w:hint="eastAsia" w:ascii="宋体" w:hAnsi="宋体"/>
          <w:color w:val="auto"/>
          <w:spacing w:val="-1"/>
          <w:sz w:val="24"/>
          <w:highlight w:val="none"/>
        </w:rPr>
        <w:t>属于</w:t>
      </w:r>
      <w:r>
        <w:rPr>
          <w:rFonts w:hint="eastAsia" w:ascii="宋体" w:hAnsi="宋体"/>
          <w:color w:val="auto"/>
          <w:spacing w:val="-8"/>
          <w:sz w:val="24"/>
          <w:highlight w:val="none"/>
          <w:u w:val="single"/>
        </w:rPr>
        <w:t>（采购文件中明确的所属行业）</w:t>
      </w:r>
      <w:r>
        <w:rPr>
          <w:rFonts w:hint="eastAsia" w:ascii="宋体" w:hAnsi="宋体"/>
          <w:color w:val="auto"/>
          <w:spacing w:val="11"/>
          <w:w w:val="95"/>
          <w:sz w:val="24"/>
          <w:highlight w:val="none"/>
        </w:rPr>
        <w:t>；</w:t>
      </w:r>
      <w:r>
        <w:rPr>
          <w:rFonts w:hint="eastAsia" w:ascii="宋体" w:hAnsi="宋体"/>
          <w:color w:val="auto"/>
          <w:spacing w:val="-1"/>
          <w:sz w:val="24"/>
          <w:highlight w:val="none"/>
        </w:rPr>
        <w:t>承建（承接）企业为</w:t>
      </w:r>
      <w:r>
        <w:rPr>
          <w:rFonts w:hint="eastAsia" w:ascii="宋体" w:hAnsi="宋体"/>
          <w:color w:val="auto"/>
          <w:spacing w:val="-8"/>
          <w:sz w:val="24"/>
          <w:highlight w:val="none"/>
          <w:u w:val="single"/>
        </w:rPr>
        <w:t>（企业名称）</w:t>
      </w:r>
      <w:r>
        <w:rPr>
          <w:rFonts w:hint="eastAsia" w:ascii="宋体" w:hAnsi="宋体"/>
          <w:color w:val="auto"/>
          <w:spacing w:val="11"/>
          <w:w w:val="95"/>
          <w:sz w:val="24"/>
          <w:highlight w:val="none"/>
        </w:rPr>
        <w:t>，</w:t>
      </w:r>
      <w:r>
        <w:rPr>
          <w:rFonts w:hint="eastAsia" w:ascii="宋体" w:hAnsi="宋体"/>
          <w:color w:val="auto"/>
          <w:spacing w:val="-1"/>
          <w:sz w:val="24"/>
          <w:highlight w:val="none"/>
        </w:rPr>
        <w:t>从业人员</w:t>
      </w:r>
      <w:r>
        <w:rPr>
          <w:rFonts w:hint="eastAsia" w:ascii="宋体" w:hAnsi="宋体"/>
          <w:color w:val="auto"/>
          <w:spacing w:val="11"/>
          <w:w w:val="95"/>
          <w:sz w:val="24"/>
          <w:highlight w:val="none"/>
          <w:u w:val="single"/>
        </w:rPr>
        <w:tab/>
      </w:r>
      <w:r>
        <w:rPr>
          <w:rFonts w:hint="eastAsia" w:ascii="宋体" w:hAnsi="宋体"/>
          <w:color w:val="auto"/>
          <w:spacing w:val="11"/>
          <w:w w:val="95"/>
          <w:sz w:val="24"/>
          <w:highlight w:val="none"/>
          <w:u w:val="single"/>
        </w:rPr>
        <w:t xml:space="preserve">     </w:t>
      </w:r>
      <w:r>
        <w:rPr>
          <w:rFonts w:hint="eastAsia" w:ascii="宋体" w:hAnsi="宋体"/>
          <w:color w:val="auto"/>
          <w:spacing w:val="-1"/>
          <w:sz w:val="24"/>
          <w:highlight w:val="none"/>
        </w:rPr>
        <w:t>人，营业收入为</w:t>
      </w:r>
      <w:r>
        <w:rPr>
          <w:rFonts w:hint="eastAsia" w:ascii="宋体" w:hAnsi="宋体"/>
          <w:color w:val="auto"/>
          <w:spacing w:val="11"/>
          <w:w w:val="95"/>
          <w:sz w:val="24"/>
          <w:highlight w:val="none"/>
          <w:u w:val="single"/>
        </w:rPr>
        <w:t xml:space="preserve"> </w:t>
      </w:r>
      <w:r>
        <w:rPr>
          <w:rFonts w:hint="eastAsia" w:ascii="宋体" w:hAnsi="宋体"/>
          <w:color w:val="auto"/>
          <w:spacing w:val="11"/>
          <w:w w:val="95"/>
          <w:sz w:val="24"/>
          <w:highlight w:val="none"/>
          <w:u w:val="single"/>
        </w:rPr>
        <w:tab/>
      </w:r>
      <w:r>
        <w:rPr>
          <w:rFonts w:hint="eastAsia" w:ascii="宋体" w:hAnsi="宋体"/>
          <w:color w:val="auto"/>
          <w:spacing w:val="11"/>
          <w:w w:val="95"/>
          <w:sz w:val="24"/>
          <w:highlight w:val="none"/>
          <w:u w:val="single"/>
        </w:rPr>
        <w:t xml:space="preserve"> </w:t>
      </w:r>
      <w:r>
        <w:rPr>
          <w:rFonts w:hint="eastAsia" w:ascii="宋体" w:hAnsi="宋体"/>
          <w:color w:val="auto"/>
          <w:spacing w:val="-1"/>
          <w:sz w:val="24"/>
          <w:highlight w:val="none"/>
        </w:rPr>
        <w:t>万元，资产总额为</w:t>
      </w:r>
      <w:r>
        <w:rPr>
          <w:rFonts w:hint="eastAsia" w:ascii="宋体" w:hAnsi="宋体"/>
          <w:color w:val="auto"/>
          <w:spacing w:val="11"/>
          <w:w w:val="95"/>
          <w:sz w:val="24"/>
          <w:highlight w:val="none"/>
          <w:u w:val="single"/>
        </w:rPr>
        <w:t xml:space="preserve"> </w:t>
      </w:r>
      <w:r>
        <w:rPr>
          <w:rFonts w:hint="eastAsia" w:ascii="宋体" w:hAnsi="宋体"/>
          <w:color w:val="auto"/>
          <w:spacing w:val="11"/>
          <w:w w:val="95"/>
          <w:sz w:val="24"/>
          <w:highlight w:val="none"/>
          <w:u w:val="single"/>
        </w:rPr>
        <w:tab/>
      </w:r>
      <w:r>
        <w:rPr>
          <w:rFonts w:hint="eastAsia" w:ascii="宋体" w:hAnsi="宋体"/>
          <w:color w:val="auto"/>
          <w:spacing w:val="-1"/>
          <w:sz w:val="24"/>
          <w:highlight w:val="none"/>
        </w:rPr>
        <w:t>万元</w:t>
      </w:r>
      <w:r>
        <w:rPr>
          <w:rFonts w:hint="eastAsia" w:ascii="宋体" w:hAnsi="宋体"/>
          <w:color w:val="auto"/>
          <w:spacing w:val="11"/>
          <w:w w:val="95"/>
          <w:sz w:val="24"/>
          <w:highlight w:val="none"/>
        </w:rPr>
        <w:t>，属于</w:t>
      </w:r>
      <w:r>
        <w:rPr>
          <w:rFonts w:hint="eastAsia" w:ascii="宋体" w:hAnsi="宋体"/>
          <w:color w:val="auto"/>
          <w:spacing w:val="-8"/>
          <w:sz w:val="24"/>
          <w:highlight w:val="none"/>
          <w:u w:val="single"/>
        </w:rPr>
        <w:t>（中型企业、小型企业、微型企业）；</w:t>
      </w:r>
    </w:p>
    <w:p w14:paraId="25A20E18">
      <w:pPr>
        <w:pStyle w:val="33"/>
        <w:spacing w:before="55" w:line="520" w:lineRule="exact"/>
        <w:ind w:right="415" w:firstLine="640"/>
        <w:rPr>
          <w:rFonts w:hint="eastAsia" w:ascii="宋体" w:hAnsi="宋体"/>
          <w:color w:val="auto"/>
          <w:spacing w:val="11"/>
          <w:w w:val="95"/>
          <w:sz w:val="24"/>
          <w:highlight w:val="none"/>
        </w:rPr>
      </w:pPr>
      <w:r>
        <w:rPr>
          <w:rFonts w:hint="eastAsia" w:ascii="宋体" w:hAnsi="宋体"/>
          <w:color w:val="auto"/>
          <w:spacing w:val="11"/>
          <w:w w:val="95"/>
          <w:sz w:val="24"/>
          <w:highlight w:val="none"/>
        </w:rPr>
        <w:t>……</w:t>
      </w:r>
    </w:p>
    <w:p w14:paraId="731BDB41">
      <w:pPr>
        <w:pStyle w:val="33"/>
        <w:spacing w:before="105" w:line="520" w:lineRule="exact"/>
        <w:ind w:right="417" w:firstLine="645"/>
        <w:rPr>
          <w:color w:val="auto"/>
          <w:spacing w:val="-3"/>
          <w:sz w:val="24"/>
          <w:highlight w:val="none"/>
        </w:rPr>
      </w:pPr>
      <w:r>
        <w:rPr>
          <w:color w:val="auto"/>
          <w:spacing w:val="-3"/>
          <w:sz w:val="24"/>
          <w:highlight w:val="none"/>
        </w:rPr>
        <w:t>以上企业，不属于大企业的分支机构，不存在控股股东</w:t>
      </w:r>
      <w:r>
        <w:rPr>
          <w:color w:val="auto"/>
          <w:spacing w:val="-5"/>
          <w:sz w:val="24"/>
          <w:highlight w:val="none"/>
        </w:rPr>
        <w:t>为大企业的情形，也不存在与大企业的负责人为同一人的情形。</w:t>
      </w:r>
    </w:p>
    <w:p w14:paraId="673DF81E">
      <w:pPr>
        <w:pStyle w:val="33"/>
        <w:spacing w:line="520" w:lineRule="exact"/>
        <w:ind w:right="372" w:firstLine="645"/>
        <w:rPr>
          <w:color w:val="auto"/>
          <w:sz w:val="24"/>
          <w:highlight w:val="none"/>
        </w:rPr>
      </w:pPr>
      <w:r>
        <w:rPr>
          <w:color w:val="auto"/>
          <w:sz w:val="24"/>
          <w:highlight w:val="none"/>
        </w:rPr>
        <w:t>本企业对上述声明内容的真实性负责。如有虚假，将依法承担相应责任。</w:t>
      </w:r>
    </w:p>
    <w:p w14:paraId="4CB1D080">
      <w:pPr>
        <w:pStyle w:val="33"/>
        <w:spacing w:line="520" w:lineRule="exact"/>
        <w:ind w:left="220" w:right="372" w:firstLine="4400"/>
        <w:rPr>
          <w:color w:val="auto"/>
          <w:sz w:val="24"/>
          <w:highlight w:val="none"/>
        </w:rPr>
      </w:pPr>
      <w:r>
        <w:rPr>
          <w:color w:val="auto"/>
          <w:sz w:val="24"/>
          <w:highlight w:val="none"/>
        </w:rPr>
        <w:t>企业名称</w:t>
      </w:r>
      <w:r>
        <w:rPr>
          <w:rFonts w:hint="eastAsia" w:ascii="宋体" w:hAnsi="宋体"/>
          <w:color w:val="auto"/>
          <w:sz w:val="24"/>
          <w:highlight w:val="none"/>
        </w:rPr>
        <w:t>（电子签章）</w:t>
      </w:r>
      <w:r>
        <w:rPr>
          <w:color w:val="auto"/>
          <w:sz w:val="24"/>
          <w:highlight w:val="none"/>
        </w:rPr>
        <w:t>：</w:t>
      </w:r>
    </w:p>
    <w:p w14:paraId="20687662">
      <w:pPr>
        <w:pStyle w:val="33"/>
        <w:spacing w:line="520" w:lineRule="exact"/>
        <w:ind w:left="220" w:right="372" w:firstLine="4400"/>
        <w:rPr>
          <w:color w:val="auto"/>
          <w:sz w:val="24"/>
          <w:highlight w:val="none"/>
        </w:rPr>
      </w:pPr>
      <w:r>
        <w:rPr>
          <w:color w:val="auto"/>
          <w:sz w:val="24"/>
          <w:highlight w:val="none"/>
        </w:rPr>
        <w:t>日期：</w:t>
      </w:r>
    </w:p>
    <w:p w14:paraId="23832781">
      <w:pPr>
        <w:pStyle w:val="33"/>
        <w:spacing w:line="520" w:lineRule="exact"/>
        <w:ind w:right="372" w:firstLine="645"/>
        <w:rPr>
          <w:rFonts w:hint="eastAsia"/>
          <w:color w:val="auto"/>
          <w:sz w:val="24"/>
          <w:highlight w:val="none"/>
        </w:rPr>
      </w:pPr>
      <w:r>
        <w:rPr>
          <w:rFonts w:hint="eastAsia"/>
          <w:color w:val="auto"/>
          <w:sz w:val="24"/>
          <w:highlight w:val="none"/>
        </w:rPr>
        <w:t>备注：从业人员、营业收入、资产总额填报上一年度数据，无上一年度数据的新成立企业可不填报。</w:t>
      </w:r>
    </w:p>
    <w:p w14:paraId="347C3904">
      <w:pPr>
        <w:pStyle w:val="22"/>
        <w:spacing w:line="520" w:lineRule="exact"/>
        <w:jc w:val="left"/>
        <w:rPr>
          <w:rFonts w:hint="eastAsia" w:ascii="宋体" w:hAnsi="宋体"/>
          <w:color w:val="auto"/>
          <w:sz w:val="24"/>
          <w:szCs w:val="24"/>
          <w:highlight w:val="none"/>
        </w:rPr>
      </w:pPr>
    </w:p>
    <w:p w14:paraId="45FDFE35">
      <w:pPr>
        <w:pStyle w:val="22"/>
        <w:spacing w:line="520" w:lineRule="exact"/>
        <w:ind w:firstLine="3360" w:firstLineChars="1400"/>
        <w:jc w:val="left"/>
        <w:rPr>
          <w:rFonts w:hint="eastAsia" w:ascii="宋体" w:hAnsi="宋体"/>
          <w:color w:val="auto"/>
          <w:sz w:val="24"/>
          <w:szCs w:val="24"/>
          <w:highlight w:val="none"/>
        </w:rPr>
      </w:pPr>
      <w:r>
        <w:rPr>
          <w:rFonts w:hint="eastAsia" w:ascii="宋体" w:hAnsi="宋体"/>
          <w:color w:val="auto"/>
          <w:sz w:val="24"/>
          <w:szCs w:val="24"/>
          <w:highlight w:val="none"/>
        </w:rPr>
        <w:t>（二）监狱企业证明</w:t>
      </w:r>
    </w:p>
    <w:p w14:paraId="58AF854A">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省级以上监狱管理局、戒毒管理局（含新疆生产建设兵团）出具的属于监狱企业的证明文件扫描件加盖单位电子印章。</w:t>
      </w:r>
    </w:p>
    <w:p w14:paraId="27732EC6">
      <w:pPr>
        <w:spacing w:line="520" w:lineRule="exact"/>
        <w:rPr>
          <w:rFonts w:hint="eastAsia" w:ascii="宋体" w:hAnsi="宋体"/>
          <w:b/>
          <w:color w:val="auto"/>
          <w:sz w:val="24"/>
          <w:highlight w:val="none"/>
        </w:rPr>
      </w:pPr>
    </w:p>
    <w:p w14:paraId="76190E75">
      <w:pPr>
        <w:spacing w:line="520" w:lineRule="exact"/>
        <w:rPr>
          <w:rFonts w:hint="eastAsia" w:ascii="宋体" w:hAnsi="宋体"/>
          <w:b/>
          <w:color w:val="auto"/>
          <w:sz w:val="24"/>
          <w:highlight w:val="none"/>
        </w:rPr>
      </w:pPr>
    </w:p>
    <w:p w14:paraId="0D9E3A14">
      <w:pPr>
        <w:spacing w:line="520" w:lineRule="exact"/>
        <w:rPr>
          <w:rFonts w:hint="eastAsia" w:ascii="宋体" w:hAnsi="宋体"/>
          <w:b/>
          <w:color w:val="auto"/>
          <w:sz w:val="24"/>
          <w:highlight w:val="none"/>
        </w:rPr>
      </w:pPr>
    </w:p>
    <w:p w14:paraId="04B4EA2D">
      <w:pPr>
        <w:spacing w:line="520" w:lineRule="exact"/>
        <w:rPr>
          <w:rFonts w:hint="eastAsia" w:ascii="宋体" w:hAnsi="宋体"/>
          <w:b/>
          <w:color w:val="auto"/>
          <w:sz w:val="24"/>
          <w:highlight w:val="none"/>
        </w:rPr>
      </w:pPr>
    </w:p>
    <w:p w14:paraId="6A06906D">
      <w:pPr>
        <w:spacing w:line="520" w:lineRule="exact"/>
        <w:rPr>
          <w:rFonts w:hint="eastAsia" w:ascii="宋体" w:hAnsi="宋体"/>
          <w:b/>
          <w:color w:val="auto"/>
          <w:sz w:val="24"/>
          <w:highlight w:val="none"/>
        </w:rPr>
      </w:pPr>
      <w:r>
        <w:rPr>
          <w:rFonts w:hint="eastAsia" w:ascii="宋体" w:hAnsi="宋体"/>
          <w:b/>
          <w:color w:val="auto"/>
          <w:sz w:val="24"/>
          <w:highlight w:val="none"/>
        </w:rPr>
        <w:t>（注：符合条件的监狱企业请提供本函，不符合的不提供本函）</w:t>
      </w:r>
    </w:p>
    <w:p w14:paraId="12F66070">
      <w:pPr>
        <w:spacing w:line="520" w:lineRule="exact"/>
        <w:rPr>
          <w:rFonts w:hint="eastAsia" w:ascii="宋体" w:hAnsi="宋体"/>
          <w:color w:val="auto"/>
          <w:sz w:val="24"/>
          <w:highlight w:val="none"/>
        </w:rPr>
      </w:pPr>
    </w:p>
    <w:p w14:paraId="501AABC0">
      <w:pPr>
        <w:spacing w:line="520" w:lineRule="exact"/>
        <w:rPr>
          <w:rFonts w:hint="eastAsia" w:ascii="宋体" w:hAnsi="宋体"/>
          <w:color w:val="auto"/>
          <w:sz w:val="24"/>
          <w:highlight w:val="none"/>
        </w:rPr>
      </w:pPr>
      <w:r>
        <w:rPr>
          <w:rFonts w:hint="eastAsia" w:ascii="宋体" w:hAnsi="宋体"/>
          <w:color w:val="auto"/>
          <w:sz w:val="24"/>
          <w:highlight w:val="none"/>
        </w:rPr>
        <w:br w:type="page"/>
      </w:r>
      <w:bookmarkStart w:id="335" w:name="_Toc9997"/>
      <w:bookmarkStart w:id="336" w:name="_Toc4051"/>
      <w:r>
        <w:rPr>
          <w:rFonts w:hint="eastAsia" w:ascii="宋体" w:hAnsi="宋体"/>
          <w:color w:val="auto"/>
          <w:sz w:val="24"/>
          <w:highlight w:val="none"/>
        </w:rPr>
        <w:t xml:space="preserve">                        </w:t>
      </w:r>
      <w:r>
        <w:rPr>
          <w:rFonts w:hint="eastAsia" w:ascii="宋体" w:hAnsi="宋体"/>
          <w:b/>
          <w:bCs/>
          <w:color w:val="auto"/>
          <w:sz w:val="24"/>
          <w:highlight w:val="none"/>
        </w:rPr>
        <w:t>（三）残疾人福利性单位声明函</w:t>
      </w:r>
      <w:bookmarkEnd w:id="335"/>
      <w:bookmarkEnd w:id="336"/>
    </w:p>
    <w:p w14:paraId="57492A72">
      <w:pPr>
        <w:spacing w:line="520" w:lineRule="exact"/>
        <w:rPr>
          <w:rFonts w:hint="eastAsia" w:ascii="宋体" w:hAnsi="宋体"/>
          <w:color w:val="auto"/>
          <w:sz w:val="24"/>
          <w:highlight w:val="none"/>
        </w:rPr>
      </w:pPr>
    </w:p>
    <w:p w14:paraId="2966E6B8">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04199D">
      <w:pPr>
        <w:spacing w:line="520" w:lineRule="exact"/>
        <w:rPr>
          <w:rFonts w:hint="eastAsia" w:ascii="宋体" w:hAnsi="宋体"/>
          <w:color w:val="auto"/>
          <w:sz w:val="24"/>
          <w:highlight w:val="none"/>
        </w:rPr>
      </w:pPr>
    </w:p>
    <w:p w14:paraId="4ACF5A07">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92FB472">
      <w:pPr>
        <w:spacing w:line="520" w:lineRule="exact"/>
        <w:rPr>
          <w:rFonts w:hint="eastAsia" w:ascii="宋体" w:hAnsi="宋体"/>
          <w:color w:val="auto"/>
          <w:sz w:val="24"/>
          <w:highlight w:val="none"/>
        </w:rPr>
      </w:pPr>
    </w:p>
    <w:p w14:paraId="50ACECBF">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hint="eastAsia" w:ascii="宋体" w:hAnsi="宋体"/>
          <w:color w:val="auto"/>
          <w:sz w:val="24"/>
          <w:highlight w:val="none"/>
        </w:rPr>
        <w:t>（电子签章）：</w:t>
      </w:r>
    </w:p>
    <w:p w14:paraId="1E836FC7">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日   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6EA04F02">
      <w:pPr>
        <w:spacing w:line="520" w:lineRule="exact"/>
        <w:rPr>
          <w:rFonts w:hint="eastAsia" w:ascii="宋体" w:hAnsi="宋体"/>
          <w:color w:val="auto"/>
          <w:sz w:val="24"/>
          <w:highlight w:val="none"/>
        </w:rPr>
      </w:pPr>
    </w:p>
    <w:p w14:paraId="1150F8CF">
      <w:pPr>
        <w:spacing w:line="520" w:lineRule="exact"/>
        <w:jc w:val="center"/>
        <w:outlineLvl w:val="1"/>
        <w:rPr>
          <w:rFonts w:hint="eastAsia" w:ascii="宋体" w:hAnsi="宋体"/>
          <w:b/>
          <w:color w:val="auto"/>
          <w:sz w:val="24"/>
          <w:highlight w:val="none"/>
        </w:rPr>
      </w:pPr>
      <w:bookmarkStart w:id="337" w:name="_Toc30413"/>
      <w:bookmarkStart w:id="338" w:name="_Toc6466"/>
      <w:r>
        <w:rPr>
          <w:rFonts w:hint="eastAsia" w:ascii="宋体" w:hAnsi="宋体"/>
          <w:b/>
          <w:color w:val="auto"/>
          <w:sz w:val="24"/>
          <w:highlight w:val="none"/>
        </w:rPr>
        <w:t>（注：符合条件的残疾人福利性单位请提供本函，不符合的不提供本函）</w:t>
      </w:r>
      <w:bookmarkEnd w:id="337"/>
      <w:bookmarkEnd w:id="338"/>
    </w:p>
    <w:p w14:paraId="5E2BEC21">
      <w:pPr>
        <w:keepNext/>
        <w:keepLines/>
        <w:spacing w:line="520" w:lineRule="exact"/>
        <w:rPr>
          <w:rFonts w:hint="eastAsia" w:ascii="宋体" w:hAnsi="宋体"/>
          <w:color w:val="auto"/>
          <w:sz w:val="24"/>
          <w:highlight w:val="none"/>
        </w:rPr>
      </w:pPr>
    </w:p>
    <w:p w14:paraId="3F9E8E89">
      <w:pPr>
        <w:spacing w:line="520" w:lineRule="exact"/>
        <w:rPr>
          <w:rFonts w:hint="eastAsia" w:ascii="宋体" w:hAnsi="宋体"/>
          <w:color w:val="auto"/>
          <w:sz w:val="24"/>
          <w:highlight w:val="none"/>
        </w:rPr>
      </w:pPr>
    </w:p>
    <w:p w14:paraId="47B7D232">
      <w:pPr>
        <w:spacing w:line="400" w:lineRule="exact"/>
        <w:jc w:val="center"/>
        <w:rPr>
          <w:rFonts w:hint="eastAsia" w:ascii="宋体" w:hAnsi="宋体"/>
          <w:color w:val="auto"/>
          <w:sz w:val="24"/>
          <w:highlight w:val="none"/>
        </w:rPr>
      </w:pPr>
    </w:p>
    <w:p w14:paraId="37F5E0B4">
      <w:pPr>
        <w:spacing w:line="400" w:lineRule="exact"/>
        <w:jc w:val="center"/>
        <w:rPr>
          <w:rFonts w:hint="eastAsia" w:ascii="宋体" w:hAnsi="宋体"/>
          <w:color w:val="auto"/>
          <w:sz w:val="24"/>
          <w:highlight w:val="none"/>
        </w:rPr>
      </w:pPr>
    </w:p>
    <w:p w14:paraId="0F685C04">
      <w:pPr>
        <w:spacing w:line="400" w:lineRule="exact"/>
        <w:jc w:val="center"/>
        <w:rPr>
          <w:rFonts w:hint="eastAsia" w:ascii="宋体" w:hAnsi="宋体"/>
          <w:color w:val="auto"/>
          <w:sz w:val="24"/>
          <w:highlight w:val="none"/>
        </w:rPr>
      </w:pPr>
    </w:p>
    <w:p w14:paraId="4AB4B0CF">
      <w:pPr>
        <w:spacing w:line="400" w:lineRule="exact"/>
        <w:jc w:val="center"/>
        <w:rPr>
          <w:rFonts w:hint="eastAsia" w:ascii="宋体" w:hAnsi="宋体"/>
          <w:color w:val="auto"/>
          <w:sz w:val="24"/>
          <w:highlight w:val="none"/>
        </w:rPr>
      </w:pPr>
    </w:p>
    <w:p w14:paraId="63711CD6">
      <w:pPr>
        <w:spacing w:line="400" w:lineRule="exact"/>
        <w:jc w:val="center"/>
        <w:rPr>
          <w:rFonts w:hint="eastAsia" w:ascii="宋体" w:hAnsi="宋体"/>
          <w:color w:val="auto"/>
          <w:sz w:val="24"/>
          <w:highlight w:val="none"/>
        </w:rPr>
      </w:pPr>
    </w:p>
    <w:p w14:paraId="7541DB85">
      <w:pPr>
        <w:spacing w:line="400" w:lineRule="exact"/>
        <w:jc w:val="center"/>
        <w:rPr>
          <w:rFonts w:hint="eastAsia" w:ascii="宋体" w:hAnsi="宋体"/>
          <w:color w:val="auto"/>
          <w:sz w:val="24"/>
          <w:highlight w:val="none"/>
        </w:rPr>
      </w:pPr>
    </w:p>
    <w:p w14:paraId="7B543279">
      <w:pPr>
        <w:spacing w:line="400" w:lineRule="exact"/>
        <w:jc w:val="center"/>
        <w:rPr>
          <w:rFonts w:hint="eastAsia" w:ascii="宋体" w:hAnsi="宋体"/>
          <w:color w:val="auto"/>
          <w:sz w:val="24"/>
          <w:highlight w:val="none"/>
        </w:rPr>
      </w:pPr>
    </w:p>
    <w:p w14:paraId="10DE6307">
      <w:pPr>
        <w:spacing w:line="400" w:lineRule="exact"/>
        <w:jc w:val="center"/>
        <w:rPr>
          <w:rFonts w:hint="eastAsia" w:ascii="宋体" w:hAnsi="宋体"/>
          <w:color w:val="auto"/>
          <w:sz w:val="24"/>
          <w:highlight w:val="none"/>
        </w:rPr>
      </w:pPr>
    </w:p>
    <w:p w14:paraId="1933F856">
      <w:pPr>
        <w:spacing w:line="400" w:lineRule="exact"/>
        <w:jc w:val="center"/>
        <w:rPr>
          <w:rFonts w:hint="eastAsia" w:ascii="宋体" w:hAnsi="宋体"/>
          <w:color w:val="auto"/>
          <w:sz w:val="24"/>
          <w:highlight w:val="none"/>
        </w:rPr>
      </w:pPr>
    </w:p>
    <w:p w14:paraId="65ED58A5">
      <w:pPr>
        <w:spacing w:line="400" w:lineRule="exact"/>
        <w:jc w:val="center"/>
        <w:rPr>
          <w:rFonts w:hint="eastAsia" w:ascii="宋体" w:hAnsi="宋体"/>
          <w:color w:val="auto"/>
          <w:sz w:val="24"/>
          <w:highlight w:val="none"/>
        </w:rPr>
      </w:pPr>
    </w:p>
    <w:p w14:paraId="704FC810">
      <w:pPr>
        <w:spacing w:line="400" w:lineRule="exact"/>
        <w:jc w:val="center"/>
        <w:rPr>
          <w:rFonts w:hint="eastAsia" w:ascii="宋体" w:hAnsi="宋体"/>
          <w:color w:val="auto"/>
          <w:sz w:val="24"/>
          <w:highlight w:val="none"/>
        </w:rPr>
      </w:pPr>
    </w:p>
    <w:p w14:paraId="5E185510">
      <w:pPr>
        <w:spacing w:line="400" w:lineRule="exact"/>
        <w:jc w:val="center"/>
        <w:rPr>
          <w:rFonts w:hint="eastAsia" w:ascii="宋体" w:hAnsi="宋体"/>
          <w:color w:val="auto"/>
          <w:sz w:val="24"/>
          <w:highlight w:val="none"/>
        </w:rPr>
      </w:pPr>
    </w:p>
    <w:p w14:paraId="322801EC">
      <w:pPr>
        <w:spacing w:line="400" w:lineRule="exact"/>
        <w:jc w:val="center"/>
        <w:rPr>
          <w:rFonts w:hint="eastAsia" w:ascii="宋体" w:hAnsi="宋体"/>
          <w:color w:val="auto"/>
          <w:sz w:val="24"/>
          <w:highlight w:val="none"/>
        </w:rPr>
      </w:pPr>
    </w:p>
    <w:p w14:paraId="4CC82598">
      <w:pPr>
        <w:spacing w:line="400" w:lineRule="exact"/>
        <w:jc w:val="center"/>
        <w:rPr>
          <w:rFonts w:hint="eastAsia" w:ascii="宋体" w:hAnsi="宋体"/>
          <w:color w:val="auto"/>
          <w:sz w:val="24"/>
          <w:highlight w:val="none"/>
        </w:rPr>
      </w:pPr>
    </w:p>
    <w:p w14:paraId="6647F635">
      <w:pPr>
        <w:spacing w:line="400" w:lineRule="exact"/>
        <w:jc w:val="center"/>
        <w:rPr>
          <w:rFonts w:hint="eastAsia" w:ascii="宋体" w:hAnsi="宋体"/>
          <w:color w:val="auto"/>
          <w:sz w:val="24"/>
          <w:highlight w:val="none"/>
        </w:rPr>
      </w:pPr>
    </w:p>
    <w:p w14:paraId="67C02AD0">
      <w:pPr>
        <w:spacing w:line="400" w:lineRule="exact"/>
        <w:jc w:val="center"/>
        <w:rPr>
          <w:rFonts w:hint="eastAsia" w:ascii="宋体" w:hAnsi="宋体"/>
          <w:color w:val="auto"/>
          <w:sz w:val="24"/>
          <w:highlight w:val="none"/>
        </w:rPr>
      </w:pPr>
    </w:p>
    <w:p w14:paraId="4B807CFB">
      <w:pPr>
        <w:spacing w:line="400" w:lineRule="exact"/>
        <w:jc w:val="center"/>
        <w:rPr>
          <w:rFonts w:hint="eastAsia" w:ascii="宋体" w:hAnsi="宋体"/>
          <w:b/>
          <w:bCs/>
          <w:color w:val="auto"/>
          <w:sz w:val="24"/>
          <w:highlight w:val="none"/>
        </w:rPr>
      </w:pPr>
      <w:r>
        <w:rPr>
          <w:rFonts w:hint="eastAsia" w:ascii="宋体" w:hAnsi="宋体"/>
          <w:b/>
          <w:bCs/>
          <w:color w:val="auto"/>
          <w:sz w:val="24"/>
          <w:highlight w:val="none"/>
        </w:rPr>
        <w:t>河南省政府采购合同融资政策告知函</w:t>
      </w:r>
    </w:p>
    <w:p w14:paraId="3508C784">
      <w:pPr>
        <w:spacing w:line="400" w:lineRule="exact"/>
        <w:rPr>
          <w:rFonts w:hint="eastAsia" w:ascii="宋体" w:hAnsi="宋体"/>
          <w:color w:val="auto"/>
          <w:sz w:val="24"/>
          <w:highlight w:val="none"/>
        </w:rPr>
      </w:pPr>
    </w:p>
    <w:p w14:paraId="2213139D">
      <w:pPr>
        <w:spacing w:line="400" w:lineRule="exact"/>
        <w:rPr>
          <w:rFonts w:hint="eastAsia" w:ascii="宋体" w:hAnsi="宋体"/>
          <w:color w:val="auto"/>
          <w:sz w:val="24"/>
          <w:highlight w:val="none"/>
        </w:rPr>
      </w:pPr>
      <w:r>
        <w:rPr>
          <w:rFonts w:hint="eastAsia" w:ascii="宋体" w:hAnsi="宋体"/>
          <w:color w:val="auto"/>
          <w:sz w:val="24"/>
          <w:highlight w:val="none"/>
        </w:rPr>
        <w:t>各投标人：</w:t>
      </w:r>
    </w:p>
    <w:p w14:paraId="2A621C0D">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欢迎贵公司参与河南省政府采购活动！</w:t>
      </w:r>
    </w:p>
    <w:p w14:paraId="31ED0945">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rPr>
        <w:t>政府采购合同融资是河南省财政厅支持中小微企业发展，针对参与政府采购活动的投标人融资难、融资贵问题推出的一项融资政策。贵公司若成为本次政府采购项目的中标成交投标人，可持政府采购合同向金融机构申请贷款，无需抵押、担保，融资机构将根据《河南省政府采购合同融资工作实施方案》（豫财购〔2017〕10号），按照双方自愿的原则提供便捷、优惠的贷款服务。</w:t>
      </w:r>
    </w:p>
    <w:p w14:paraId="39240748">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贷款渠道和提供贷款的金融机构，可在河南省政府采购网“河南省政府采购合同融资平台”查询联系。</w:t>
      </w:r>
    </w:p>
    <w:p w14:paraId="4D02F833">
      <w:pPr>
        <w:pStyle w:val="39"/>
        <w:rPr>
          <w:rFonts w:hint="eastAsia" w:ascii="宋体" w:hAnsi="宋体"/>
          <w:color w:val="auto"/>
          <w:sz w:val="24"/>
          <w:highlight w:val="none"/>
        </w:rPr>
      </w:pPr>
    </w:p>
    <w:p w14:paraId="33744B23">
      <w:pPr>
        <w:rPr>
          <w:rFonts w:hint="eastAsia" w:ascii="宋体" w:hAnsi="宋体"/>
          <w:color w:val="auto"/>
          <w:sz w:val="24"/>
          <w:highlight w:val="none"/>
        </w:rPr>
      </w:pPr>
    </w:p>
    <w:p w14:paraId="2FF5E368">
      <w:pPr>
        <w:pStyle w:val="39"/>
        <w:rPr>
          <w:rFonts w:hint="eastAsia" w:ascii="宋体" w:hAnsi="宋体"/>
          <w:color w:val="auto"/>
          <w:sz w:val="24"/>
          <w:highlight w:val="none"/>
        </w:rPr>
      </w:pPr>
    </w:p>
    <w:p w14:paraId="71C954B6">
      <w:pPr>
        <w:rPr>
          <w:rFonts w:hint="eastAsia" w:ascii="宋体" w:hAnsi="宋体"/>
          <w:color w:val="auto"/>
          <w:sz w:val="24"/>
          <w:highlight w:val="none"/>
        </w:rPr>
      </w:pPr>
    </w:p>
    <w:p w14:paraId="7F5AA3C5">
      <w:pPr>
        <w:pStyle w:val="39"/>
        <w:rPr>
          <w:rFonts w:hint="eastAsia" w:ascii="宋体" w:hAnsi="宋体"/>
          <w:color w:val="auto"/>
          <w:sz w:val="24"/>
          <w:highlight w:val="none"/>
        </w:rPr>
      </w:pPr>
    </w:p>
    <w:p w14:paraId="511EB27B">
      <w:pPr>
        <w:rPr>
          <w:rFonts w:hint="eastAsia" w:ascii="宋体" w:hAnsi="宋体"/>
          <w:color w:val="auto"/>
          <w:sz w:val="24"/>
          <w:highlight w:val="none"/>
        </w:rPr>
      </w:pPr>
    </w:p>
    <w:p w14:paraId="0159A58C">
      <w:pPr>
        <w:pStyle w:val="39"/>
        <w:rPr>
          <w:rFonts w:hint="eastAsia" w:ascii="宋体" w:hAnsi="宋体"/>
          <w:color w:val="auto"/>
          <w:sz w:val="24"/>
          <w:highlight w:val="none"/>
        </w:rPr>
      </w:pPr>
    </w:p>
    <w:p w14:paraId="691BCB04">
      <w:pPr>
        <w:spacing w:line="500" w:lineRule="exact"/>
        <w:ind w:left="124"/>
        <w:rPr>
          <w:rFonts w:hint="eastAsia" w:ascii="宋体" w:hAnsi="宋体"/>
          <w:b/>
          <w:bCs/>
          <w:color w:val="auto"/>
          <w:sz w:val="24"/>
          <w:highlight w:val="none"/>
          <w:lang w:val="zh-CN"/>
        </w:rPr>
      </w:pPr>
    </w:p>
    <w:p w14:paraId="1B15F134">
      <w:pPr>
        <w:spacing w:line="500" w:lineRule="exact"/>
        <w:ind w:left="124"/>
        <w:rPr>
          <w:rFonts w:hint="eastAsia" w:ascii="宋体" w:hAnsi="宋体"/>
          <w:b/>
          <w:bCs/>
          <w:color w:val="auto"/>
          <w:sz w:val="24"/>
          <w:highlight w:val="none"/>
          <w:lang w:val="zh-CN"/>
        </w:rPr>
      </w:pPr>
    </w:p>
    <w:p w14:paraId="0E8B6F1F">
      <w:pPr>
        <w:spacing w:line="500" w:lineRule="exact"/>
        <w:ind w:left="124"/>
        <w:rPr>
          <w:rFonts w:hint="eastAsia" w:ascii="宋体" w:hAnsi="宋体"/>
          <w:b/>
          <w:bCs/>
          <w:color w:val="auto"/>
          <w:sz w:val="24"/>
          <w:highlight w:val="none"/>
          <w:lang w:val="zh-CN"/>
        </w:rPr>
      </w:pPr>
    </w:p>
    <w:p w14:paraId="5EB8C2B6">
      <w:pPr>
        <w:spacing w:line="500" w:lineRule="exact"/>
        <w:ind w:left="124"/>
        <w:rPr>
          <w:rFonts w:hint="eastAsia" w:ascii="宋体" w:hAnsi="宋体"/>
          <w:b/>
          <w:bCs/>
          <w:color w:val="auto"/>
          <w:sz w:val="24"/>
          <w:highlight w:val="none"/>
          <w:lang w:val="zh-CN"/>
        </w:rPr>
      </w:pPr>
    </w:p>
    <w:p w14:paraId="748615EE">
      <w:pPr>
        <w:spacing w:line="500" w:lineRule="exact"/>
        <w:ind w:left="124"/>
        <w:rPr>
          <w:rFonts w:hint="eastAsia" w:ascii="宋体" w:hAnsi="宋体"/>
          <w:b/>
          <w:bCs/>
          <w:color w:val="auto"/>
          <w:sz w:val="24"/>
          <w:highlight w:val="none"/>
          <w:lang w:val="zh-CN"/>
        </w:rPr>
      </w:pPr>
    </w:p>
    <w:p w14:paraId="4757D3E0">
      <w:pPr>
        <w:rPr>
          <w:rFonts w:ascii="宋体" w:hAnsi="宋体"/>
          <w:color w:val="auto"/>
          <w:spacing w:val="8"/>
          <w:sz w:val="20"/>
          <w:szCs w:val="20"/>
          <w:highlight w:val="none"/>
        </w:rPr>
      </w:pPr>
      <w:r>
        <w:rPr>
          <w:rFonts w:ascii="宋体" w:hAnsi="宋体"/>
          <w:color w:val="auto"/>
          <w:spacing w:val="8"/>
          <w:sz w:val="20"/>
          <w:szCs w:val="20"/>
          <w:highlight w:val="none"/>
        </w:rPr>
        <w:br w:type="page"/>
      </w:r>
    </w:p>
    <w:p w14:paraId="33D60348">
      <w:pPr>
        <w:spacing w:line="500" w:lineRule="exact"/>
        <w:ind w:left="124"/>
        <w:rPr>
          <w:rFonts w:ascii="宋体" w:hAnsi="宋体"/>
          <w:color w:val="auto"/>
          <w:spacing w:val="8"/>
          <w:sz w:val="20"/>
          <w:szCs w:val="20"/>
          <w:highlight w:val="none"/>
        </w:rPr>
      </w:pPr>
      <w:r>
        <w:rPr>
          <w:rFonts w:ascii="宋体" w:hAnsi="宋体"/>
          <w:color w:val="auto"/>
          <w:spacing w:val="8"/>
          <w:sz w:val="20"/>
          <w:szCs w:val="20"/>
          <w:highlight w:val="none"/>
        </w:rPr>
        <w:t>投标信息采集</w:t>
      </w:r>
    </w:p>
    <w:p w14:paraId="09412940">
      <w:pPr>
        <w:spacing w:line="500" w:lineRule="exact"/>
        <w:ind w:left="137"/>
        <w:rPr>
          <w:rFonts w:ascii="宋体" w:hAnsi="宋体"/>
          <w:color w:val="auto"/>
          <w:spacing w:val="6"/>
          <w:sz w:val="20"/>
          <w:szCs w:val="20"/>
          <w:highlight w:val="none"/>
        </w:rPr>
      </w:pPr>
      <w:r>
        <w:rPr>
          <w:rFonts w:ascii="宋体" w:hAnsi="宋体"/>
          <w:color w:val="auto"/>
          <w:spacing w:val="6"/>
          <w:sz w:val="20"/>
          <w:szCs w:val="20"/>
          <w:highlight w:val="none"/>
        </w:rPr>
        <w:t>1、投标人名称：</w:t>
      </w:r>
      <w:r>
        <w:rPr>
          <w:rFonts w:ascii="宋体" w:hAnsi="宋体"/>
          <w:color w:val="auto"/>
          <w:spacing w:val="6"/>
          <w:sz w:val="20"/>
          <w:szCs w:val="20"/>
          <w:highlight w:val="none"/>
          <w:u w:val="single"/>
        </w:rPr>
        <w:t xml:space="preserve">       </w:t>
      </w:r>
      <w:r>
        <w:rPr>
          <w:rFonts w:ascii="宋体" w:hAnsi="宋体"/>
          <w:color w:val="auto"/>
          <w:spacing w:val="-72"/>
          <w:sz w:val="20"/>
          <w:szCs w:val="20"/>
          <w:highlight w:val="none"/>
        </w:rPr>
        <w:t xml:space="preserve"> </w:t>
      </w:r>
      <w:r>
        <w:rPr>
          <w:rFonts w:ascii="宋体" w:hAnsi="宋体"/>
          <w:color w:val="auto"/>
          <w:spacing w:val="6"/>
          <w:sz w:val="20"/>
          <w:szCs w:val="20"/>
          <w:highlight w:val="none"/>
        </w:rPr>
        <w:t xml:space="preserve">统一社会信用代码： </w:t>
      </w:r>
      <w:r>
        <w:rPr>
          <w:rFonts w:ascii="宋体" w:hAnsi="宋体"/>
          <w:color w:val="auto"/>
          <w:sz w:val="20"/>
          <w:szCs w:val="20"/>
          <w:highlight w:val="none"/>
          <w:u w:val="single"/>
        </w:rPr>
        <w:t xml:space="preserve">          </w:t>
      </w:r>
    </w:p>
    <w:p w14:paraId="3E3B8A74">
      <w:pPr>
        <w:spacing w:line="500" w:lineRule="exact"/>
        <w:ind w:left="124"/>
        <w:rPr>
          <w:rFonts w:ascii="宋体" w:hAnsi="宋体"/>
          <w:color w:val="auto"/>
          <w:spacing w:val="7"/>
          <w:sz w:val="20"/>
          <w:szCs w:val="20"/>
          <w:highlight w:val="none"/>
        </w:rPr>
      </w:pPr>
      <w:r>
        <w:rPr>
          <w:rFonts w:ascii="宋体" w:hAnsi="宋体"/>
          <w:color w:val="auto"/>
          <w:spacing w:val="7"/>
          <w:sz w:val="20"/>
          <w:szCs w:val="20"/>
          <w:highlight w:val="none"/>
        </w:rPr>
        <w:t>2、企业地址：</w:t>
      </w:r>
      <w:r>
        <w:rPr>
          <w:rFonts w:ascii="宋体" w:hAnsi="宋体"/>
          <w:color w:val="auto"/>
          <w:sz w:val="20"/>
          <w:szCs w:val="20"/>
          <w:highlight w:val="none"/>
          <w:u w:val="single"/>
        </w:rPr>
        <w:t xml:space="preserve">            </w:t>
      </w:r>
    </w:p>
    <w:p w14:paraId="4C78C55F">
      <w:pPr>
        <w:spacing w:line="500" w:lineRule="exact"/>
        <w:ind w:left="126"/>
        <w:rPr>
          <w:rFonts w:ascii="宋体" w:hAnsi="宋体"/>
          <w:color w:val="auto"/>
          <w:spacing w:val="6"/>
          <w:sz w:val="20"/>
          <w:szCs w:val="20"/>
          <w:highlight w:val="none"/>
        </w:rPr>
      </w:pPr>
      <w:r>
        <w:rPr>
          <w:rFonts w:ascii="宋体" w:hAnsi="宋体"/>
          <w:color w:val="auto"/>
          <w:spacing w:val="6"/>
          <w:sz w:val="20"/>
          <w:szCs w:val="20"/>
          <w:highlight w:val="none"/>
        </w:rPr>
        <w:t>3、法定代表人：</w:t>
      </w:r>
      <w:r>
        <w:rPr>
          <w:rFonts w:ascii="宋体" w:hAnsi="宋体"/>
          <w:color w:val="auto"/>
          <w:spacing w:val="6"/>
          <w:sz w:val="20"/>
          <w:szCs w:val="20"/>
          <w:highlight w:val="none"/>
          <w:u w:val="single"/>
        </w:rPr>
        <w:t xml:space="preserve">            </w:t>
      </w:r>
      <w:r>
        <w:rPr>
          <w:rFonts w:ascii="宋体" w:hAnsi="宋体"/>
          <w:color w:val="auto"/>
          <w:spacing w:val="-86"/>
          <w:sz w:val="20"/>
          <w:szCs w:val="20"/>
          <w:highlight w:val="none"/>
        </w:rPr>
        <w:t xml:space="preserve"> </w:t>
      </w:r>
      <w:r>
        <w:rPr>
          <w:rFonts w:ascii="宋体" w:hAnsi="宋体"/>
          <w:color w:val="auto"/>
          <w:spacing w:val="6"/>
          <w:sz w:val="20"/>
          <w:szCs w:val="20"/>
          <w:highlight w:val="none"/>
        </w:rPr>
        <w:t>委托人：</w:t>
      </w:r>
      <w:r>
        <w:rPr>
          <w:rFonts w:ascii="宋体" w:hAnsi="宋体"/>
          <w:color w:val="auto"/>
          <w:spacing w:val="6"/>
          <w:sz w:val="20"/>
          <w:szCs w:val="20"/>
          <w:highlight w:val="none"/>
          <w:u w:val="single"/>
        </w:rPr>
        <w:t xml:space="preserve">            </w:t>
      </w:r>
      <w:r>
        <w:rPr>
          <w:rFonts w:ascii="宋体" w:hAnsi="宋体"/>
          <w:color w:val="auto"/>
          <w:spacing w:val="-91"/>
          <w:sz w:val="20"/>
          <w:szCs w:val="20"/>
          <w:highlight w:val="none"/>
        </w:rPr>
        <w:t xml:space="preserve"> </w:t>
      </w:r>
      <w:r>
        <w:rPr>
          <w:rFonts w:ascii="宋体" w:hAnsi="宋体"/>
          <w:color w:val="auto"/>
          <w:spacing w:val="6"/>
          <w:sz w:val="20"/>
          <w:szCs w:val="20"/>
          <w:highlight w:val="none"/>
        </w:rPr>
        <w:t>联系电话：</w:t>
      </w:r>
      <w:r>
        <w:rPr>
          <w:rFonts w:ascii="宋体" w:hAnsi="宋体"/>
          <w:color w:val="auto"/>
          <w:sz w:val="20"/>
          <w:szCs w:val="20"/>
          <w:highlight w:val="none"/>
          <w:u w:val="single"/>
        </w:rPr>
        <w:t xml:space="preserve">            </w:t>
      </w:r>
    </w:p>
    <w:p w14:paraId="7FDFAC39">
      <w:pPr>
        <w:spacing w:line="500" w:lineRule="exact"/>
        <w:ind w:left="121"/>
        <w:rPr>
          <w:rFonts w:ascii="宋体" w:hAnsi="宋体"/>
          <w:color w:val="auto"/>
          <w:spacing w:val="7"/>
          <w:sz w:val="20"/>
          <w:szCs w:val="20"/>
          <w:highlight w:val="none"/>
        </w:rPr>
      </w:pPr>
      <w:r>
        <w:rPr>
          <w:rFonts w:ascii="宋体" w:hAnsi="宋体"/>
          <w:color w:val="auto"/>
          <w:spacing w:val="7"/>
          <w:sz w:val="20"/>
          <w:szCs w:val="20"/>
          <w:highlight w:val="none"/>
        </w:rPr>
        <w:t>4、项目管理机构组成：</w:t>
      </w:r>
    </w:p>
    <w:p w14:paraId="00390B8C">
      <w:pPr>
        <w:spacing w:line="500" w:lineRule="exact"/>
        <w:ind w:left="125"/>
        <w:rPr>
          <w:rFonts w:ascii="宋体" w:hAnsi="宋体"/>
          <w:color w:val="auto"/>
          <w:spacing w:val="5"/>
          <w:sz w:val="20"/>
          <w:szCs w:val="20"/>
          <w:highlight w:val="none"/>
        </w:rPr>
      </w:pPr>
      <w:r>
        <w:rPr>
          <w:rFonts w:ascii="宋体" w:hAnsi="宋体"/>
          <w:color w:val="auto"/>
          <w:spacing w:val="5"/>
          <w:sz w:val="20"/>
          <w:szCs w:val="20"/>
          <w:highlight w:val="none"/>
        </w:rPr>
        <w:t>项目</w:t>
      </w:r>
      <w:r>
        <w:rPr>
          <w:rFonts w:hint="eastAsia" w:ascii="宋体" w:hAnsi="宋体"/>
          <w:color w:val="auto"/>
          <w:spacing w:val="5"/>
          <w:sz w:val="20"/>
          <w:szCs w:val="20"/>
          <w:highlight w:val="none"/>
        </w:rPr>
        <w:t>负责人</w:t>
      </w:r>
      <w:r>
        <w:rPr>
          <w:rFonts w:ascii="宋体" w:hAnsi="宋体"/>
          <w:color w:val="auto"/>
          <w:spacing w:val="5"/>
          <w:sz w:val="20"/>
          <w:szCs w:val="20"/>
          <w:highlight w:val="none"/>
        </w:rPr>
        <w:t>：</w:t>
      </w:r>
      <w:r>
        <w:rPr>
          <w:rFonts w:ascii="宋体" w:hAnsi="宋体"/>
          <w:color w:val="auto"/>
          <w:spacing w:val="5"/>
          <w:sz w:val="20"/>
          <w:szCs w:val="20"/>
          <w:highlight w:val="none"/>
          <w:u w:val="single"/>
        </w:rPr>
        <w:t xml:space="preserve">       </w:t>
      </w:r>
      <w:r>
        <w:rPr>
          <w:rFonts w:ascii="宋体" w:hAnsi="宋体"/>
          <w:color w:val="auto"/>
          <w:spacing w:val="5"/>
          <w:sz w:val="20"/>
          <w:szCs w:val="20"/>
          <w:highlight w:val="none"/>
        </w:rPr>
        <w:t xml:space="preserve">   </w:t>
      </w:r>
      <w:r>
        <w:rPr>
          <w:rFonts w:hint="eastAsia" w:ascii="宋体" w:hAnsi="宋体"/>
          <w:color w:val="auto"/>
          <w:spacing w:val="5"/>
          <w:sz w:val="20"/>
          <w:szCs w:val="20"/>
          <w:highlight w:val="none"/>
        </w:rPr>
        <w:t>证书编号</w:t>
      </w:r>
      <w:r>
        <w:rPr>
          <w:rFonts w:ascii="宋体" w:hAnsi="宋体"/>
          <w:color w:val="auto"/>
          <w:spacing w:val="5"/>
          <w:sz w:val="20"/>
          <w:szCs w:val="20"/>
          <w:highlight w:val="none"/>
        </w:rPr>
        <w:t>：</w:t>
      </w:r>
      <w:r>
        <w:rPr>
          <w:rFonts w:ascii="宋体" w:hAnsi="宋体"/>
          <w:color w:val="auto"/>
          <w:spacing w:val="5"/>
          <w:sz w:val="20"/>
          <w:szCs w:val="20"/>
          <w:highlight w:val="none"/>
          <w:u w:val="single"/>
        </w:rPr>
        <w:t xml:space="preserve">      </w:t>
      </w:r>
      <w:r>
        <w:rPr>
          <w:rFonts w:ascii="宋体" w:hAnsi="宋体"/>
          <w:color w:val="auto"/>
          <w:spacing w:val="5"/>
          <w:sz w:val="20"/>
          <w:szCs w:val="20"/>
          <w:highlight w:val="none"/>
        </w:rPr>
        <w:t xml:space="preserve">   </w:t>
      </w:r>
    </w:p>
    <w:p w14:paraId="5E85BFC5">
      <w:pPr>
        <w:spacing w:line="500" w:lineRule="exact"/>
        <w:ind w:left="126"/>
        <w:rPr>
          <w:rFonts w:ascii="宋体" w:hAnsi="宋体"/>
          <w:color w:val="auto"/>
          <w:spacing w:val="7"/>
          <w:sz w:val="20"/>
          <w:szCs w:val="20"/>
          <w:highlight w:val="none"/>
        </w:rPr>
      </w:pPr>
      <w:r>
        <w:rPr>
          <w:rFonts w:ascii="宋体" w:hAnsi="宋体"/>
          <w:color w:val="auto"/>
          <w:spacing w:val="7"/>
          <w:sz w:val="20"/>
          <w:szCs w:val="20"/>
          <w:highlight w:val="none"/>
        </w:rPr>
        <w:t>5、类似业绩汇总表</w:t>
      </w:r>
    </w:p>
    <w:p w14:paraId="6F49ED22">
      <w:pPr>
        <w:spacing w:line="500" w:lineRule="exact"/>
        <w:rPr>
          <w:color w:val="auto"/>
          <w:sz w:val="2"/>
          <w:highlight w:val="none"/>
        </w:rPr>
      </w:pPr>
    </w:p>
    <w:tbl>
      <w:tblPr>
        <w:tblStyle w:val="8"/>
        <w:tblW w:w="931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1"/>
        <w:gridCol w:w="1301"/>
        <w:gridCol w:w="1288"/>
        <w:gridCol w:w="1128"/>
        <w:gridCol w:w="1381"/>
        <w:gridCol w:w="1115"/>
        <w:gridCol w:w="2145"/>
      </w:tblGrid>
      <w:tr w14:paraId="24680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6" w:hRule="atLeast"/>
        </w:trPr>
        <w:tc>
          <w:tcPr>
            <w:tcW w:w="961" w:type="dxa"/>
            <w:vAlign w:val="top"/>
          </w:tcPr>
          <w:p w14:paraId="30486C78">
            <w:pPr>
              <w:pStyle w:val="94"/>
              <w:spacing w:line="500" w:lineRule="exact"/>
              <w:ind w:left="116"/>
              <w:rPr>
                <w:color w:val="auto"/>
                <w:spacing w:val="5"/>
                <w:highlight w:val="none"/>
              </w:rPr>
            </w:pPr>
            <w:r>
              <w:rPr>
                <w:color w:val="auto"/>
                <w:spacing w:val="5"/>
                <w:highlight w:val="none"/>
              </w:rPr>
              <w:t>序号</w:t>
            </w:r>
          </w:p>
        </w:tc>
        <w:tc>
          <w:tcPr>
            <w:tcW w:w="1301" w:type="dxa"/>
            <w:vAlign w:val="top"/>
          </w:tcPr>
          <w:p w14:paraId="67BBA00B">
            <w:pPr>
              <w:pStyle w:val="94"/>
              <w:spacing w:line="500" w:lineRule="exact"/>
              <w:ind w:left="115"/>
              <w:rPr>
                <w:color w:val="auto"/>
                <w:spacing w:val="6"/>
                <w:highlight w:val="none"/>
              </w:rPr>
            </w:pPr>
            <w:r>
              <w:rPr>
                <w:color w:val="auto"/>
                <w:spacing w:val="6"/>
                <w:highlight w:val="none"/>
              </w:rPr>
              <w:t>项目名称</w:t>
            </w:r>
          </w:p>
        </w:tc>
        <w:tc>
          <w:tcPr>
            <w:tcW w:w="1288" w:type="dxa"/>
            <w:vAlign w:val="top"/>
          </w:tcPr>
          <w:p w14:paraId="16705837">
            <w:pPr>
              <w:pStyle w:val="94"/>
              <w:spacing w:line="500" w:lineRule="exact"/>
              <w:ind w:left="115"/>
              <w:rPr>
                <w:color w:val="auto"/>
                <w:spacing w:val="6"/>
                <w:highlight w:val="none"/>
              </w:rPr>
            </w:pPr>
            <w:r>
              <w:rPr>
                <w:color w:val="auto"/>
                <w:spacing w:val="6"/>
                <w:highlight w:val="none"/>
              </w:rPr>
              <w:t>项目负责人</w:t>
            </w:r>
          </w:p>
        </w:tc>
        <w:tc>
          <w:tcPr>
            <w:tcW w:w="1128" w:type="dxa"/>
            <w:vAlign w:val="top"/>
          </w:tcPr>
          <w:p w14:paraId="1C8D57EC">
            <w:pPr>
              <w:pStyle w:val="94"/>
              <w:spacing w:line="500" w:lineRule="exact"/>
              <w:ind w:left="112"/>
              <w:rPr>
                <w:color w:val="auto"/>
                <w:spacing w:val="7"/>
                <w:highlight w:val="none"/>
              </w:rPr>
            </w:pPr>
            <w:r>
              <w:rPr>
                <w:color w:val="auto"/>
                <w:spacing w:val="7"/>
                <w:highlight w:val="none"/>
              </w:rPr>
              <w:t>合同金额</w:t>
            </w:r>
          </w:p>
        </w:tc>
        <w:tc>
          <w:tcPr>
            <w:tcW w:w="1381" w:type="dxa"/>
            <w:vAlign w:val="top"/>
          </w:tcPr>
          <w:p w14:paraId="13066C47">
            <w:pPr>
              <w:pStyle w:val="94"/>
              <w:spacing w:line="500" w:lineRule="exact"/>
              <w:ind w:left="114"/>
              <w:rPr>
                <w:color w:val="auto"/>
                <w:spacing w:val="20"/>
                <w:position w:val="14"/>
                <w:highlight w:val="none"/>
              </w:rPr>
            </w:pPr>
            <w:r>
              <w:rPr>
                <w:color w:val="auto"/>
                <w:spacing w:val="20"/>
                <w:position w:val="14"/>
                <w:highlight w:val="none"/>
              </w:rPr>
              <w:t>合同签订时</w:t>
            </w:r>
          </w:p>
          <w:p w14:paraId="0C877225">
            <w:pPr>
              <w:pStyle w:val="94"/>
              <w:spacing w:line="500" w:lineRule="exact"/>
              <w:ind w:left="114"/>
              <w:rPr>
                <w:color w:val="auto"/>
                <w:highlight w:val="none"/>
              </w:rPr>
            </w:pPr>
            <w:r>
              <w:rPr>
                <w:color w:val="auto"/>
                <w:highlight w:val="none"/>
              </w:rPr>
              <w:t>间</w:t>
            </w:r>
          </w:p>
        </w:tc>
        <w:tc>
          <w:tcPr>
            <w:tcW w:w="1115" w:type="dxa"/>
            <w:vAlign w:val="top"/>
          </w:tcPr>
          <w:p w14:paraId="7A8F9CFB">
            <w:pPr>
              <w:pStyle w:val="94"/>
              <w:spacing w:line="500" w:lineRule="exact"/>
              <w:ind w:left="116"/>
              <w:rPr>
                <w:color w:val="auto"/>
                <w:spacing w:val="7"/>
                <w:highlight w:val="none"/>
              </w:rPr>
            </w:pPr>
            <w:r>
              <w:rPr>
                <w:color w:val="auto"/>
                <w:spacing w:val="7"/>
                <w:highlight w:val="none"/>
              </w:rPr>
              <w:t>竣工时间</w:t>
            </w:r>
          </w:p>
        </w:tc>
        <w:tc>
          <w:tcPr>
            <w:tcW w:w="2145" w:type="dxa"/>
            <w:vAlign w:val="top"/>
          </w:tcPr>
          <w:p w14:paraId="71C0BC97">
            <w:pPr>
              <w:pStyle w:val="94"/>
              <w:spacing w:line="500" w:lineRule="exact"/>
              <w:ind w:left="115" w:right="109" w:firstLine="19"/>
              <w:rPr>
                <w:color w:val="auto"/>
                <w:spacing w:val="17"/>
                <w:highlight w:val="none"/>
              </w:rPr>
            </w:pPr>
            <w:r>
              <w:rPr>
                <w:color w:val="auto"/>
                <w:spacing w:val="17"/>
                <w:highlight w:val="none"/>
              </w:rPr>
              <w:t>中标公示查</w:t>
            </w:r>
            <w:r>
              <w:rPr>
                <w:color w:val="auto"/>
                <w:highlight w:val="none"/>
              </w:rPr>
              <w:t xml:space="preserve"> </w:t>
            </w:r>
            <w:r>
              <w:rPr>
                <w:color w:val="auto"/>
                <w:spacing w:val="21"/>
                <w:highlight w:val="none"/>
              </w:rPr>
              <w:t>询网站（写</w:t>
            </w:r>
            <w:r>
              <w:rPr>
                <w:color w:val="auto"/>
                <w:highlight w:val="none"/>
              </w:rPr>
              <w:t xml:space="preserve"> </w:t>
            </w:r>
            <w:r>
              <w:rPr>
                <w:color w:val="auto"/>
                <w:spacing w:val="21"/>
                <w:highlight w:val="none"/>
              </w:rPr>
              <w:t>明网站名称</w:t>
            </w:r>
          </w:p>
          <w:p w14:paraId="3521BF83">
            <w:pPr>
              <w:pStyle w:val="94"/>
              <w:spacing w:line="500" w:lineRule="exact"/>
              <w:ind w:left="130"/>
              <w:rPr>
                <w:color w:val="auto"/>
                <w:spacing w:val="-2"/>
                <w:highlight w:val="none"/>
              </w:rPr>
            </w:pPr>
            <w:r>
              <w:rPr>
                <w:color w:val="auto"/>
                <w:spacing w:val="-2"/>
                <w:highlight w:val="none"/>
              </w:rPr>
              <w:t>即可）</w:t>
            </w:r>
          </w:p>
        </w:tc>
      </w:tr>
      <w:tr w14:paraId="0A090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961" w:type="dxa"/>
            <w:vAlign w:val="top"/>
          </w:tcPr>
          <w:p w14:paraId="58CDC3F7">
            <w:pPr>
              <w:spacing w:line="500" w:lineRule="exact"/>
              <w:rPr>
                <w:color w:val="auto"/>
                <w:highlight w:val="none"/>
              </w:rPr>
            </w:pPr>
          </w:p>
        </w:tc>
        <w:tc>
          <w:tcPr>
            <w:tcW w:w="1301" w:type="dxa"/>
            <w:vAlign w:val="top"/>
          </w:tcPr>
          <w:p w14:paraId="70A1EAF5">
            <w:pPr>
              <w:spacing w:line="500" w:lineRule="exact"/>
              <w:rPr>
                <w:color w:val="auto"/>
                <w:highlight w:val="none"/>
              </w:rPr>
            </w:pPr>
          </w:p>
        </w:tc>
        <w:tc>
          <w:tcPr>
            <w:tcW w:w="1288" w:type="dxa"/>
            <w:vAlign w:val="top"/>
          </w:tcPr>
          <w:p w14:paraId="5F9E9AC9">
            <w:pPr>
              <w:spacing w:line="500" w:lineRule="exact"/>
              <w:rPr>
                <w:color w:val="auto"/>
                <w:highlight w:val="none"/>
              </w:rPr>
            </w:pPr>
          </w:p>
        </w:tc>
        <w:tc>
          <w:tcPr>
            <w:tcW w:w="1128" w:type="dxa"/>
            <w:vAlign w:val="top"/>
          </w:tcPr>
          <w:p w14:paraId="51AAA737">
            <w:pPr>
              <w:spacing w:line="500" w:lineRule="exact"/>
              <w:rPr>
                <w:color w:val="auto"/>
                <w:highlight w:val="none"/>
              </w:rPr>
            </w:pPr>
          </w:p>
        </w:tc>
        <w:tc>
          <w:tcPr>
            <w:tcW w:w="1381" w:type="dxa"/>
            <w:vAlign w:val="top"/>
          </w:tcPr>
          <w:p w14:paraId="0A0B7430">
            <w:pPr>
              <w:spacing w:line="500" w:lineRule="exact"/>
              <w:rPr>
                <w:color w:val="auto"/>
                <w:highlight w:val="none"/>
              </w:rPr>
            </w:pPr>
          </w:p>
        </w:tc>
        <w:tc>
          <w:tcPr>
            <w:tcW w:w="1115" w:type="dxa"/>
            <w:vAlign w:val="top"/>
          </w:tcPr>
          <w:p w14:paraId="442F56AF">
            <w:pPr>
              <w:spacing w:line="500" w:lineRule="exact"/>
              <w:rPr>
                <w:color w:val="auto"/>
                <w:highlight w:val="none"/>
              </w:rPr>
            </w:pPr>
          </w:p>
        </w:tc>
        <w:tc>
          <w:tcPr>
            <w:tcW w:w="2145" w:type="dxa"/>
            <w:vAlign w:val="top"/>
          </w:tcPr>
          <w:p w14:paraId="762701C0">
            <w:pPr>
              <w:spacing w:line="500" w:lineRule="exact"/>
              <w:rPr>
                <w:color w:val="auto"/>
                <w:highlight w:val="none"/>
              </w:rPr>
            </w:pPr>
          </w:p>
        </w:tc>
      </w:tr>
      <w:tr w14:paraId="5AED0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61" w:type="dxa"/>
            <w:vAlign w:val="top"/>
          </w:tcPr>
          <w:p w14:paraId="545C4DEF">
            <w:pPr>
              <w:spacing w:line="500" w:lineRule="exact"/>
              <w:rPr>
                <w:color w:val="auto"/>
                <w:highlight w:val="none"/>
              </w:rPr>
            </w:pPr>
          </w:p>
        </w:tc>
        <w:tc>
          <w:tcPr>
            <w:tcW w:w="1301" w:type="dxa"/>
            <w:vAlign w:val="top"/>
          </w:tcPr>
          <w:p w14:paraId="35DBCA42">
            <w:pPr>
              <w:spacing w:line="500" w:lineRule="exact"/>
              <w:rPr>
                <w:color w:val="auto"/>
                <w:highlight w:val="none"/>
              </w:rPr>
            </w:pPr>
          </w:p>
        </w:tc>
        <w:tc>
          <w:tcPr>
            <w:tcW w:w="1288" w:type="dxa"/>
            <w:vAlign w:val="top"/>
          </w:tcPr>
          <w:p w14:paraId="3877FA6E">
            <w:pPr>
              <w:spacing w:line="500" w:lineRule="exact"/>
              <w:rPr>
                <w:color w:val="auto"/>
                <w:highlight w:val="none"/>
              </w:rPr>
            </w:pPr>
          </w:p>
        </w:tc>
        <w:tc>
          <w:tcPr>
            <w:tcW w:w="1128" w:type="dxa"/>
            <w:vAlign w:val="top"/>
          </w:tcPr>
          <w:p w14:paraId="7B9FE931">
            <w:pPr>
              <w:spacing w:line="500" w:lineRule="exact"/>
              <w:rPr>
                <w:color w:val="auto"/>
                <w:highlight w:val="none"/>
              </w:rPr>
            </w:pPr>
          </w:p>
        </w:tc>
        <w:tc>
          <w:tcPr>
            <w:tcW w:w="1381" w:type="dxa"/>
            <w:vAlign w:val="top"/>
          </w:tcPr>
          <w:p w14:paraId="23203BD2">
            <w:pPr>
              <w:spacing w:line="500" w:lineRule="exact"/>
              <w:rPr>
                <w:color w:val="auto"/>
                <w:highlight w:val="none"/>
              </w:rPr>
            </w:pPr>
          </w:p>
        </w:tc>
        <w:tc>
          <w:tcPr>
            <w:tcW w:w="1115" w:type="dxa"/>
            <w:vAlign w:val="top"/>
          </w:tcPr>
          <w:p w14:paraId="4FE1469A">
            <w:pPr>
              <w:spacing w:line="500" w:lineRule="exact"/>
              <w:rPr>
                <w:color w:val="auto"/>
                <w:highlight w:val="none"/>
              </w:rPr>
            </w:pPr>
          </w:p>
        </w:tc>
        <w:tc>
          <w:tcPr>
            <w:tcW w:w="2145" w:type="dxa"/>
            <w:vAlign w:val="top"/>
          </w:tcPr>
          <w:p w14:paraId="15DBFEBD">
            <w:pPr>
              <w:spacing w:line="500" w:lineRule="exact"/>
              <w:rPr>
                <w:color w:val="auto"/>
                <w:highlight w:val="none"/>
              </w:rPr>
            </w:pPr>
          </w:p>
        </w:tc>
      </w:tr>
    </w:tbl>
    <w:p w14:paraId="1EF9CFCD">
      <w:pPr>
        <w:rPr>
          <w:color w:val="auto"/>
          <w:highlight w:val="none"/>
        </w:rPr>
      </w:pPr>
    </w:p>
    <w:sectPr>
      <w:pgSz w:w="11906" w:h="16838"/>
      <w:pgMar w:top="1361" w:right="1304" w:bottom="1304" w:left="1304"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ˎ̥">
    <w:altName w:val="Times New Roman"/>
    <w:panose1 w:val="00000000000000000000"/>
    <w:charset w:val="00"/>
    <w:family w:val="auto"/>
    <w:pitch w:val="default"/>
    <w:sig w:usb0="00000000" w:usb1="00000000" w:usb2="00000000"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roman"/>
    <w:pitch w:val="default"/>
    <w:sig w:usb0="E00002FF" w:usb1="6AC7FDFB" w:usb2="00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4B954">
    <w:pPr>
      <w:pStyle w:val="41"/>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_x0000_s2067"/>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F3DE4FA">
                          <w:pPr>
                            <w:pStyle w:val="41"/>
                          </w:pPr>
                          <w:r>
                            <w:fldChar w:fldCharType="begin"/>
                          </w:r>
                          <w:r>
                            <w:instrText xml:space="preserve"> PAGE  \* MERGEFORMAT </w:instrText>
                          </w:r>
                          <w:r>
                            <w:fldChar w:fldCharType="separate"/>
                          </w:r>
                          <w:r>
                            <w:t>1</w:t>
                          </w:r>
                          <w:r>
                            <w:fldChar w:fldCharType="end"/>
                          </w:r>
                        </w:p>
                        <w:p w14:paraId="1FFAAC8B"/>
                      </w:txbxContent>
                    </wps:txbx>
                    <wps:bodyPr rot="0" vert="horz" wrap="square" lIns="91440" tIns="45720" rIns="91440" bIns="45720" anchor="t" anchorCtr="0"/>
                  </wps:wsp>
                </a:graphicData>
              </a:graphic>
            </wp:anchor>
          </w:drawing>
        </mc:Choice>
        <mc:Fallback>
          <w:pict>
            <v:rect id="_x0000_s2067"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HuUjh+7AQAAhgMAAA4AAAAAAAAAAQAgAAAAIgEAAGRycy9lMm9Eb2MueG1sUEsFBgAA&#10;AAAGAAYAWQEAAE8FAAAAAA==&#10;">
              <v:fill on="f" focussize="0,0"/>
              <v:stroke on="f"/>
              <v:imagedata o:title=""/>
              <o:lock v:ext="edit" aspectratio="f"/>
              <v:textbox>
                <w:txbxContent>
                  <w:p w14:paraId="1F3DE4FA">
                    <w:pPr>
                      <w:pStyle w:val="41"/>
                    </w:pPr>
                    <w:r>
                      <w:fldChar w:fldCharType="begin"/>
                    </w:r>
                    <w:r>
                      <w:instrText xml:space="preserve"> PAGE  \* MERGEFORMAT </w:instrText>
                    </w:r>
                    <w:r>
                      <w:fldChar w:fldCharType="separate"/>
                    </w:r>
                    <w:r>
                      <w:t>1</w:t>
                    </w:r>
                    <w:r>
                      <w:fldChar w:fldCharType="end"/>
                    </w:r>
                  </w:p>
                  <w:p w14:paraId="1FFAAC8B"/>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AC94">
    <w:pPr>
      <w:spacing w:line="360" w:lineRule="auto"/>
      <w:jc w:val="left"/>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_x0000_s2064"/>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ADB2FDE">
                          <w:pPr>
                            <w:pStyle w:val="41"/>
                          </w:pPr>
                          <w:r>
                            <w:fldChar w:fldCharType="begin"/>
                          </w:r>
                          <w:r>
                            <w:instrText xml:space="preserve"> PAGE  \* MERGEFORMAT </w:instrText>
                          </w:r>
                          <w:r>
                            <w:fldChar w:fldCharType="separate"/>
                          </w:r>
                          <w:r>
                            <w:t>35</w:t>
                          </w:r>
                          <w:r>
                            <w:fldChar w:fldCharType="end"/>
                          </w:r>
                        </w:p>
                        <w:p w14:paraId="6AF74506"/>
                      </w:txbxContent>
                    </wps:txbx>
                    <wps:bodyPr rot="0" vert="horz" wrap="square" lIns="91440" tIns="45720" rIns="91440" bIns="45720" anchor="t" anchorCtr="0"/>
                  </wps:wsp>
                </a:graphicData>
              </a:graphic>
            </wp:anchor>
          </w:drawing>
        </mc:Choice>
        <mc:Fallback>
          <w:pict>
            <v:rect id="_x0000_s206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EXG5W27AQAAhgMAAA4AAAAAAAAAAQAgAAAAIgEAAGRycy9lMm9Eb2MueG1sUEsFBgAA&#10;AAAGAAYAWQEAAE8FAAAAAA==&#10;">
              <v:fill on="f" focussize="0,0"/>
              <v:stroke on="f"/>
              <v:imagedata o:title=""/>
              <o:lock v:ext="edit" aspectratio="f"/>
              <v:textbox>
                <w:txbxContent>
                  <w:p w14:paraId="1ADB2FDE">
                    <w:pPr>
                      <w:pStyle w:val="41"/>
                    </w:pPr>
                    <w:r>
                      <w:fldChar w:fldCharType="begin"/>
                    </w:r>
                    <w:r>
                      <w:instrText xml:space="preserve"> PAGE  \* MERGEFORMAT </w:instrText>
                    </w:r>
                    <w:r>
                      <w:fldChar w:fldCharType="separate"/>
                    </w:r>
                    <w:r>
                      <w:t>35</w:t>
                    </w:r>
                    <w:r>
                      <w:fldChar w:fldCharType="end"/>
                    </w:r>
                  </w:p>
                  <w:p w14:paraId="6AF74506"/>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BBC41">
    <w:pPr>
      <w:pStyle w:val="41"/>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_x0000_s206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285D2F2">
                          <w:pPr>
                            <w:pStyle w:val="41"/>
                          </w:pPr>
                          <w:r>
                            <w:fldChar w:fldCharType="begin"/>
                          </w:r>
                          <w:r>
                            <w:instrText xml:space="preserve"> PAGE  \* MERGEFORMAT </w:instrText>
                          </w:r>
                          <w:r>
                            <w:fldChar w:fldCharType="separate"/>
                          </w:r>
                          <w:r>
                            <w:t>34</w:t>
                          </w:r>
                          <w:r>
                            <w:fldChar w:fldCharType="end"/>
                          </w:r>
                        </w:p>
                        <w:p w14:paraId="3BB6F9D3"/>
                      </w:txbxContent>
                    </wps:txbx>
                    <wps:bodyPr rot="0" vert="horz" wrap="square" lIns="91440" tIns="45720" rIns="91440" bIns="45720" anchor="t" anchorCtr="0"/>
                  </wps:wsp>
                </a:graphicData>
              </a:graphic>
            </wp:anchor>
          </w:drawing>
        </mc:Choice>
        <mc:Fallback>
          <w:pict>
            <v:rect id="_x0000_s2065"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2MbPBNMAAAAFAQAADwAAAAAAAAABACAAAAAiAAAAZHJzL2Rvd25yZXYueG1sUEsBAhQAFAAA&#10;AAgAh07iQG/JIvy7AQAAhgMAAA4AAAAAAAAAAQAgAAAAIgEAAGRycy9lMm9Eb2MueG1sUEsFBgAA&#10;AAAGAAYAWQEAAE8FAAAAAA==&#10;">
              <v:fill on="f" focussize="0,0"/>
              <v:stroke on="f"/>
              <v:imagedata o:title=""/>
              <o:lock v:ext="edit" aspectratio="f"/>
              <v:textbox>
                <w:txbxContent>
                  <w:p w14:paraId="2285D2F2">
                    <w:pPr>
                      <w:pStyle w:val="41"/>
                    </w:pPr>
                    <w:r>
                      <w:fldChar w:fldCharType="begin"/>
                    </w:r>
                    <w:r>
                      <w:instrText xml:space="preserve"> PAGE  \* MERGEFORMAT </w:instrText>
                    </w:r>
                    <w:r>
                      <w:fldChar w:fldCharType="separate"/>
                    </w:r>
                    <w:r>
                      <w:t>34</w:t>
                    </w:r>
                    <w:r>
                      <w:fldChar w:fldCharType="end"/>
                    </w:r>
                  </w:p>
                  <w:p w14:paraId="3BB6F9D3"/>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073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08998">
    <w:pPr>
      <w:spacing w:line="360" w:lineRule="auto"/>
      <w:jc w:val="left"/>
      <w:rPr>
        <w:rFonts w:ascii="宋体" w:hAnsi="宋体"/>
        <w:color w:val="000000"/>
        <w:kern w:val="0"/>
        <w:sz w:val="24"/>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E6D6B">
    <w:pPr>
      <w:pStyle w:val="4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5CDBC0"/>
    <w:multiLevelType w:val="singleLevel"/>
    <w:tmpl w:val="B75CDBC0"/>
    <w:lvl w:ilvl="0" w:tentative="0">
      <w:start w:val="2"/>
      <w:numFmt w:val="decimal"/>
      <w:suff w:val="nothing"/>
      <w:lvlText w:val="%1、"/>
      <w:lvlJc w:val="left"/>
    </w:lvl>
  </w:abstractNum>
  <w:abstractNum w:abstractNumId="1">
    <w:nsid w:val="0BCD640A"/>
    <w:multiLevelType w:val="multilevel"/>
    <w:tmpl w:val="0BCD640A"/>
    <w:lvl w:ilvl="0" w:tentative="0">
      <w:start w:val="1"/>
      <w:numFmt w:val="decimal"/>
      <w:lvlText w:val="%1)"/>
      <w:lvlJc w:val="left"/>
      <w:pPr>
        <w:tabs>
          <w:tab w:val="left" w:pos="420"/>
        </w:tabs>
        <w:ind w:left="420" w:hanging="420"/>
      </w:pPr>
    </w:lvl>
    <w:lvl w:ilvl="1" w:tentative="0">
      <w:start w:val="1"/>
      <w:numFmt w:val="decimal"/>
      <w:pStyle w:val="4"/>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003353C"/>
    <w:multiLevelType w:val="singleLevel"/>
    <w:tmpl w:val="1003353C"/>
    <w:lvl w:ilvl="0" w:tentative="0">
      <w:start w:val="1"/>
      <w:numFmt w:val="decimal"/>
      <w:suff w:val="nothing"/>
      <w:lvlText w:val="%1、"/>
      <w:lvlJc w:val="left"/>
    </w:lvl>
  </w:abstractNum>
  <w:abstractNum w:abstractNumId="3">
    <w:nsid w:val="257F514A"/>
    <w:multiLevelType w:val="singleLevel"/>
    <w:tmpl w:val="257F514A"/>
    <w:lvl w:ilvl="0" w:tentative="0">
      <w:start w:val="1"/>
      <w:numFmt w:val="chineseCounting"/>
      <w:suff w:val="nothing"/>
      <w:lvlText w:val="%1、"/>
      <w:lvlJc w:val="left"/>
      <w:rPr>
        <w:rFonts w:hint="eastAsia"/>
      </w:rPr>
    </w:lvl>
  </w:abstractNum>
  <w:abstractNum w:abstractNumId="4">
    <w:nsid w:val="2A6E7BBC"/>
    <w:multiLevelType w:val="singleLevel"/>
    <w:tmpl w:val="2A6E7BBC"/>
    <w:lvl w:ilvl="0" w:tentative="0">
      <w:start w:val="3"/>
      <w:numFmt w:val="decimal"/>
      <w:suff w:val="nothing"/>
      <w:lvlText w:val="%1、"/>
      <w:lvlJc w:val="left"/>
    </w:lvl>
  </w:abstractNum>
  <w:abstractNum w:abstractNumId="5">
    <w:nsid w:val="360F0DB3"/>
    <w:multiLevelType w:val="multilevel"/>
    <w:tmpl w:val="360F0DB3"/>
    <w:lvl w:ilvl="0" w:tentative="0">
      <w:start w:val="1"/>
      <w:numFmt w:val="chineseCountingThousand"/>
      <w:suff w:val="space"/>
      <w:lvlText w:val="第%1章"/>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hZGEzMTg0OTQxZjdhNzgyZjNhM2E0MjBjNDMxYzQifQ=="/>
  </w:docVars>
  <w:rsids>
    <w:rsidRoot w:val="00000000"/>
    <w:rsid w:val="00FE5DE6"/>
    <w:rsid w:val="058943C6"/>
    <w:rsid w:val="08E72DE3"/>
    <w:rsid w:val="093876D2"/>
    <w:rsid w:val="0A283ED3"/>
    <w:rsid w:val="109A3A72"/>
    <w:rsid w:val="119F43A3"/>
    <w:rsid w:val="129F0AAB"/>
    <w:rsid w:val="135A68AC"/>
    <w:rsid w:val="13EF0038"/>
    <w:rsid w:val="15734E2F"/>
    <w:rsid w:val="1815568F"/>
    <w:rsid w:val="19A951C2"/>
    <w:rsid w:val="1A767B71"/>
    <w:rsid w:val="1AB0538A"/>
    <w:rsid w:val="1BB27AA1"/>
    <w:rsid w:val="1F0D396C"/>
    <w:rsid w:val="22303570"/>
    <w:rsid w:val="24024CF8"/>
    <w:rsid w:val="249529F5"/>
    <w:rsid w:val="2A922F77"/>
    <w:rsid w:val="2B546E8B"/>
    <w:rsid w:val="2B6568DD"/>
    <w:rsid w:val="2C98762C"/>
    <w:rsid w:val="314F1BC2"/>
    <w:rsid w:val="346E05B1"/>
    <w:rsid w:val="347B4C5D"/>
    <w:rsid w:val="35E23799"/>
    <w:rsid w:val="36C546D4"/>
    <w:rsid w:val="3AFB6916"/>
    <w:rsid w:val="3DBD4BAA"/>
    <w:rsid w:val="4799373F"/>
    <w:rsid w:val="49ED1B20"/>
    <w:rsid w:val="50146059"/>
    <w:rsid w:val="50AA076B"/>
    <w:rsid w:val="531620E8"/>
    <w:rsid w:val="561843C9"/>
    <w:rsid w:val="56C65BD3"/>
    <w:rsid w:val="5E4E6BDA"/>
    <w:rsid w:val="5F80665E"/>
    <w:rsid w:val="606A4C8E"/>
    <w:rsid w:val="66427EE5"/>
    <w:rsid w:val="715273A8"/>
    <w:rsid w:val="737534CB"/>
    <w:rsid w:val="740A314B"/>
    <w:rsid w:val="74BA4BE7"/>
    <w:rsid w:val="77623692"/>
    <w:rsid w:val="77E11CCB"/>
    <w:rsid w:val="79FD7ACC"/>
    <w:rsid w:val="7EAF0B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3"/>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qFormat/>
    <w:uiPriority w:val="0"/>
    <w:pPr>
      <w:keepNext/>
      <w:keepLines/>
      <w:numPr>
        <w:ilvl w:val="1"/>
        <w:numId w:val="1"/>
      </w:numPr>
      <w:spacing w:before="260" w:after="260" w:line="416" w:lineRule="auto"/>
      <w:jc w:val="center"/>
      <w:outlineLvl w:val="1"/>
    </w:pPr>
    <w:rPr>
      <w:rFonts w:ascii="Arial" w:hAnsi="Arial" w:eastAsia="黑体"/>
      <w:b/>
      <w:sz w:val="32"/>
      <w:szCs w:val="20"/>
    </w:rPr>
  </w:style>
  <w:style w:type="paragraph" w:styleId="6">
    <w:name w:val="heading 5"/>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pPr>
    <w:rPr>
      <w:rFonts w:hint="eastAsia" w:ascii="宋体" w:hAnsi="宋体" w:eastAsia="宋体" w:cs="宋体"/>
      <w:b/>
      <w:bCs/>
      <w:kern w:val="0"/>
      <w:sz w:val="21"/>
      <w:szCs w:val="21"/>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semiHidden/>
    <w:qFormat/>
    <w:uiPriority w:val="99"/>
    <w:pPr>
      <w:spacing w:after="120"/>
      <w:ind w:left="420" w:leftChars="200"/>
    </w:pPr>
    <w:rPr>
      <w:kern w:val="0"/>
      <w:sz w:val="20"/>
    </w:rPr>
  </w:style>
  <w:style w:type="paragraph" w:styleId="5">
    <w:name w:val="Normal Indent"/>
    <w:basedOn w:val="1"/>
    <w:next w:val="1"/>
    <w:qFormat/>
    <w:uiPriority w:val="0"/>
    <w:pPr>
      <w:ind w:firstLine="420" w:firstLineChars="200"/>
    </w:pPr>
  </w:style>
  <w:style w:type="paragraph" w:styleId="7">
    <w:name w:val="footer"/>
    <w:basedOn w:val="1"/>
    <w:qFormat/>
    <w:uiPriority w:val="99"/>
    <w:pPr>
      <w:tabs>
        <w:tab w:val="center" w:pos="4153"/>
        <w:tab w:val="right" w:pos="8306"/>
      </w:tabs>
      <w:snapToGrid w:val="0"/>
      <w:jc w:val="left"/>
    </w:pPr>
    <w:rPr>
      <w:sz w:val="18"/>
    </w:rPr>
  </w:style>
  <w:style w:type="character" w:styleId="10">
    <w:name w:val="Strong"/>
    <w:basedOn w:val="9"/>
    <w:qFormat/>
    <w:uiPriority w:val="0"/>
    <w:rPr>
      <w:b/>
      <w:bCs/>
      <w:shd w:val="clear" w:fill="FFFFFF"/>
    </w:rPr>
  </w:style>
  <w:style w:type="character" w:styleId="11">
    <w:name w:val="FollowedHyperlink"/>
    <w:basedOn w:val="9"/>
    <w:qFormat/>
    <w:uiPriority w:val="0"/>
    <w:rPr>
      <w:color w:val="800080"/>
      <w:u w:val="none"/>
    </w:rPr>
  </w:style>
  <w:style w:type="character" w:styleId="12">
    <w:name w:val="HTML Definition"/>
    <w:basedOn w:val="9"/>
    <w:qFormat/>
    <w:uiPriority w:val="0"/>
    <w:rPr>
      <w:i/>
      <w:iCs/>
    </w:rPr>
  </w:style>
  <w:style w:type="character" w:styleId="13">
    <w:name w:val="Hyperlink"/>
    <w:basedOn w:val="9"/>
    <w:qFormat/>
    <w:uiPriority w:val="0"/>
    <w:rPr>
      <w:color w:val="0000FF"/>
      <w:u w:val="none"/>
    </w:rPr>
  </w:style>
  <w:style w:type="character" w:styleId="14">
    <w:name w:val="HTML Code"/>
    <w:basedOn w:val="9"/>
    <w:qFormat/>
    <w:uiPriority w:val="0"/>
    <w:rPr>
      <w:rFonts w:hint="default" w:ascii="Consolas" w:hAnsi="Consolas" w:eastAsia="Consolas" w:cs="Consolas"/>
      <w:color w:val="C7254E"/>
      <w:sz w:val="21"/>
      <w:szCs w:val="21"/>
      <w:shd w:val="clear" w:fill="F9F2F4"/>
    </w:rPr>
  </w:style>
  <w:style w:type="character" w:styleId="15">
    <w:name w:val="HTML Keyboard"/>
    <w:basedOn w:val="9"/>
    <w:qFormat/>
    <w:uiPriority w:val="0"/>
    <w:rPr>
      <w:rFonts w:hint="default" w:ascii="Consolas" w:hAnsi="Consolas" w:eastAsia="Consolas" w:cs="Consolas"/>
      <w:color w:val="FFFFFF"/>
      <w:sz w:val="21"/>
      <w:szCs w:val="21"/>
      <w:shd w:val="clear" w:fill="333333"/>
    </w:rPr>
  </w:style>
  <w:style w:type="character" w:styleId="16">
    <w:name w:val="HTML Sample"/>
    <w:basedOn w:val="9"/>
    <w:qFormat/>
    <w:uiPriority w:val="0"/>
    <w:rPr>
      <w:rFonts w:ascii="Consolas" w:hAnsi="Consolas" w:eastAsia="Consolas" w:cs="Consolas"/>
      <w:sz w:val="21"/>
      <w:szCs w:val="21"/>
    </w:rPr>
  </w:style>
  <w:style w:type="paragraph" w:customStyle="1" w:styleId="17">
    <w:name w:val="段"/>
    <w:next w:val="1"/>
    <w:qFormat/>
    <w:uiPriority w:val="0"/>
    <w:pPr>
      <w:autoSpaceDE w:val="0"/>
      <w:autoSpaceDN w:val="0"/>
      <w:ind w:firstLine="200" w:firstLineChars="200"/>
      <w:jc w:val="both"/>
    </w:pPr>
    <w:rPr>
      <w:rFonts w:ascii="宋体" w:hAnsi="Calibri" w:eastAsia="Times New Roman" w:cs="Times New Roman"/>
      <w:sz w:val="21"/>
      <w:lang w:val="en-US" w:eastAsia="zh-CN" w:bidi="ar-SA"/>
    </w:rPr>
  </w:style>
  <w:style w:type="paragraph" w:customStyle="1" w:styleId="18">
    <w:name w:val="BodyText1I"/>
    <w:basedOn w:val="19"/>
    <w:qFormat/>
    <w:uiPriority w:val="0"/>
    <w:pPr>
      <w:ind w:firstLine="420" w:firstLineChars="100"/>
    </w:pPr>
  </w:style>
  <w:style w:type="paragraph" w:customStyle="1" w:styleId="19">
    <w:name w:val="BodyText"/>
    <w:basedOn w:val="1"/>
    <w:qFormat/>
    <w:uiPriority w:val="0"/>
    <w:pPr>
      <w:spacing w:after="120"/>
    </w:pPr>
    <w:rPr>
      <w:rFonts w:ascii="ˎ̥" w:hAnsi="ˎ̥"/>
      <w:color w:val="51585D"/>
    </w:rPr>
  </w:style>
  <w:style w:type="paragraph" w:customStyle="1" w:styleId="20">
    <w:name w:val="标题 11"/>
    <w:basedOn w:val="1"/>
    <w:link w:val="26"/>
    <w:qFormat/>
    <w:uiPriority w:val="0"/>
    <w:pPr>
      <w:keepNext/>
      <w:keepLines/>
      <w:pageBreakBefore/>
      <w:spacing w:before="200" w:after="200" w:line="576" w:lineRule="auto"/>
      <w:jc w:val="center"/>
      <w:outlineLvl w:val="0"/>
    </w:pPr>
    <w:rPr>
      <w:b/>
      <w:bCs/>
      <w:kern w:val="44"/>
      <w:sz w:val="44"/>
      <w:szCs w:val="44"/>
    </w:rPr>
  </w:style>
  <w:style w:type="paragraph" w:customStyle="1" w:styleId="21">
    <w:name w:val="标题 21"/>
    <w:basedOn w:val="1"/>
    <w:qFormat/>
    <w:uiPriority w:val="0"/>
    <w:pPr>
      <w:keepNext/>
      <w:keepLines/>
      <w:spacing w:before="260" w:after="260" w:line="415" w:lineRule="auto"/>
      <w:outlineLvl w:val="1"/>
    </w:pPr>
    <w:rPr>
      <w:rFonts w:ascii="Arial" w:hAnsi="Arial" w:eastAsia="黑体"/>
      <w:b/>
      <w:bCs/>
      <w:sz w:val="32"/>
      <w:szCs w:val="32"/>
    </w:rPr>
  </w:style>
  <w:style w:type="paragraph" w:customStyle="1" w:styleId="22">
    <w:name w:val="标题 31"/>
    <w:basedOn w:val="21"/>
    <w:link w:val="27"/>
    <w:qFormat/>
    <w:uiPriority w:val="0"/>
    <w:pPr>
      <w:keepNext/>
      <w:keepLines/>
      <w:spacing w:before="260" w:after="260" w:line="415" w:lineRule="auto"/>
      <w:outlineLvl w:val="2"/>
    </w:pPr>
    <w:rPr>
      <w:b w:val="0"/>
      <w:bCs w:val="0"/>
      <w:kern w:val="0"/>
      <w:sz w:val="32"/>
      <w:szCs w:val="32"/>
    </w:rPr>
  </w:style>
  <w:style w:type="paragraph" w:customStyle="1" w:styleId="23">
    <w:name w:val="标题 41"/>
    <w:basedOn w:val="1"/>
    <w:link w:val="28"/>
    <w:qFormat/>
    <w:uiPriority w:val="0"/>
    <w:pPr>
      <w:keepNext/>
      <w:keepLines/>
      <w:spacing w:before="280" w:after="290" w:line="374" w:lineRule="auto"/>
      <w:outlineLvl w:val="3"/>
    </w:pPr>
    <w:rPr>
      <w:rFonts w:ascii="Arial" w:hAnsi="Arial" w:eastAsia="黑体"/>
      <w:b/>
      <w:bCs/>
      <w:kern w:val="0"/>
      <w:sz w:val="28"/>
      <w:szCs w:val="28"/>
    </w:rPr>
  </w:style>
  <w:style w:type="character" w:customStyle="1" w:styleId="24">
    <w:name w:val="默认段落字体1"/>
    <w:link w:val="1"/>
    <w:semiHidden/>
    <w:qFormat/>
    <w:uiPriority w:val="0"/>
  </w:style>
  <w:style w:type="table" w:customStyle="1" w:styleId="25">
    <w:name w:val="普通表格1"/>
    <w:semiHidden/>
    <w:qFormat/>
    <w:uiPriority w:val="0"/>
    <w:pPr>
      <w:keepNext w:val="0"/>
      <w:keepLines w:val="0"/>
      <w:widowControl/>
      <w:suppressLineNumbers w:val="0"/>
      <w:spacing w:before="0" w:beforeAutospacing="0" w:after="0" w:afterAutospacing="0"/>
      <w:ind w:left="0" w:right="0"/>
    </w:pPr>
    <w:rPr>
      <w:rFonts w:hint="eastAsia" w:ascii="等线" w:hAnsi="等线" w:eastAsia="等线"/>
      <w:kern w:val="2"/>
      <w:sz w:val="21"/>
      <w:szCs w:val="22"/>
    </w:rPr>
  </w:style>
  <w:style w:type="character" w:customStyle="1" w:styleId="26">
    <w:name w:val="标题 1 Char"/>
    <w:link w:val="20"/>
    <w:qFormat/>
    <w:uiPriority w:val="0"/>
    <w:rPr>
      <w:rFonts w:ascii="Times New Roman" w:hAnsi="Times New Roman" w:eastAsia="宋体"/>
      <w:b/>
      <w:bCs/>
      <w:kern w:val="44"/>
      <w:sz w:val="44"/>
      <w:szCs w:val="44"/>
    </w:rPr>
  </w:style>
  <w:style w:type="character" w:customStyle="1" w:styleId="27">
    <w:name w:val="标题 3 Char"/>
    <w:link w:val="22"/>
    <w:qFormat/>
    <w:uiPriority w:val="0"/>
    <w:rPr>
      <w:b/>
      <w:bCs/>
      <w:kern w:val="0"/>
      <w:sz w:val="32"/>
      <w:szCs w:val="32"/>
    </w:rPr>
  </w:style>
  <w:style w:type="character" w:customStyle="1" w:styleId="28">
    <w:name w:val="标题 4 Char"/>
    <w:link w:val="23"/>
    <w:qFormat/>
    <w:uiPriority w:val="0"/>
    <w:rPr>
      <w:rFonts w:ascii="Arial" w:hAnsi="Arial" w:eastAsia="黑体"/>
      <w:b/>
      <w:bCs/>
      <w:sz w:val="28"/>
      <w:szCs w:val="28"/>
    </w:rPr>
  </w:style>
  <w:style w:type="paragraph" w:customStyle="1" w:styleId="29">
    <w:name w:val="正文缩进1"/>
    <w:basedOn w:val="1"/>
    <w:qFormat/>
    <w:uiPriority w:val="0"/>
    <w:pPr>
      <w:ind w:firstLine="420" w:firstLineChars="200"/>
    </w:pPr>
    <w:rPr>
      <w:rFonts w:ascii="Times New Roman" w:hAnsi="Times New Roman" w:eastAsia="宋体"/>
      <w:szCs w:val="20"/>
    </w:rPr>
  </w:style>
  <w:style w:type="paragraph" w:customStyle="1" w:styleId="30">
    <w:name w:val="文档结构图1"/>
    <w:basedOn w:val="1"/>
    <w:qFormat/>
    <w:uiPriority w:val="0"/>
    <w:pPr>
      <w:shd w:val="clear" w:color="auto" w:fill="000080"/>
    </w:pPr>
  </w:style>
  <w:style w:type="paragraph" w:customStyle="1" w:styleId="31">
    <w:name w:val="批注文字1"/>
    <w:basedOn w:val="1"/>
    <w:qFormat/>
    <w:uiPriority w:val="0"/>
    <w:pPr>
      <w:jc w:val="left"/>
    </w:pPr>
  </w:style>
  <w:style w:type="paragraph" w:customStyle="1" w:styleId="32">
    <w:name w:val="正文文本 31"/>
    <w:basedOn w:val="1"/>
    <w:qFormat/>
    <w:uiPriority w:val="0"/>
    <w:rPr>
      <w:rFonts w:ascii="宋体"/>
      <w:sz w:val="24"/>
      <w:szCs w:val="20"/>
    </w:rPr>
  </w:style>
  <w:style w:type="paragraph" w:customStyle="1" w:styleId="33">
    <w:name w:val="正文文本1"/>
    <w:basedOn w:val="1"/>
    <w:qFormat/>
    <w:uiPriority w:val="0"/>
    <w:pPr>
      <w:spacing w:after="120"/>
    </w:pPr>
  </w:style>
  <w:style w:type="paragraph" w:customStyle="1" w:styleId="34">
    <w:name w:val="正文文本缩进1"/>
    <w:basedOn w:val="1"/>
    <w:qFormat/>
    <w:uiPriority w:val="0"/>
    <w:pPr>
      <w:spacing w:after="120"/>
      <w:ind w:left="420" w:leftChars="200"/>
    </w:pPr>
  </w:style>
  <w:style w:type="paragraph" w:customStyle="1" w:styleId="35">
    <w:name w:val="列表 21"/>
    <w:basedOn w:val="1"/>
    <w:qFormat/>
    <w:uiPriority w:val="0"/>
    <w:pPr>
      <w:ind w:left="100" w:leftChars="200" w:hanging="200" w:hangingChars="200"/>
      <w:contextualSpacing/>
    </w:pPr>
  </w:style>
  <w:style w:type="paragraph" w:customStyle="1" w:styleId="36">
    <w:name w:val="目录 51"/>
    <w:basedOn w:val="1"/>
    <w:qFormat/>
    <w:uiPriority w:val="0"/>
    <w:pPr>
      <w:ind w:left="840"/>
      <w:jc w:val="left"/>
    </w:pPr>
    <w:rPr>
      <w:sz w:val="18"/>
      <w:szCs w:val="18"/>
    </w:rPr>
  </w:style>
  <w:style w:type="paragraph" w:customStyle="1" w:styleId="37">
    <w:name w:val="目录 31"/>
    <w:basedOn w:val="1"/>
    <w:qFormat/>
    <w:uiPriority w:val="0"/>
    <w:pPr>
      <w:ind w:left="840" w:leftChars="400"/>
    </w:pPr>
    <w:rPr>
      <w:rFonts w:ascii="Times New Roman" w:hAnsi="Times New Roman" w:eastAsia="宋体"/>
      <w:szCs w:val="20"/>
    </w:rPr>
  </w:style>
  <w:style w:type="paragraph" w:customStyle="1" w:styleId="38">
    <w:name w:val="纯文本1"/>
    <w:basedOn w:val="1"/>
    <w:qFormat/>
    <w:uiPriority w:val="0"/>
    <w:rPr>
      <w:rFonts w:ascii="Courier New" w:hAnsi="Courier New"/>
      <w:szCs w:val="20"/>
    </w:rPr>
  </w:style>
  <w:style w:type="paragraph" w:customStyle="1" w:styleId="39">
    <w:name w:val="正文文本缩进 21"/>
    <w:basedOn w:val="1"/>
    <w:qFormat/>
    <w:uiPriority w:val="0"/>
    <w:pPr>
      <w:spacing w:after="120" w:afterAutospacing="0" w:line="480" w:lineRule="auto"/>
      <w:ind w:left="420" w:leftChars="200"/>
    </w:pPr>
  </w:style>
  <w:style w:type="paragraph" w:customStyle="1" w:styleId="40">
    <w:name w:val="批注框文本1"/>
    <w:basedOn w:val="1"/>
    <w:qFormat/>
    <w:uiPriority w:val="0"/>
    <w:rPr>
      <w:sz w:val="18"/>
      <w:szCs w:val="18"/>
    </w:rPr>
  </w:style>
  <w:style w:type="paragraph" w:customStyle="1" w:styleId="41">
    <w:name w:val="页脚1"/>
    <w:basedOn w:val="1"/>
    <w:qFormat/>
    <w:uiPriority w:val="0"/>
    <w:pPr>
      <w:tabs>
        <w:tab w:val="center" w:pos="4153"/>
        <w:tab w:val="right" w:pos="8306"/>
      </w:tabs>
      <w:snapToGrid w:val="0"/>
      <w:jc w:val="left"/>
    </w:pPr>
    <w:rPr>
      <w:sz w:val="18"/>
      <w:szCs w:val="18"/>
    </w:rPr>
  </w:style>
  <w:style w:type="paragraph" w:customStyle="1" w:styleId="42">
    <w:name w:val="寄信人地址1"/>
    <w:basedOn w:val="1"/>
    <w:qFormat/>
    <w:uiPriority w:val="0"/>
    <w:pPr>
      <w:snapToGrid w:val="0"/>
    </w:pPr>
    <w:rPr>
      <w:rFonts w:ascii="Arial" w:hAnsi="Arial"/>
    </w:rPr>
  </w:style>
  <w:style w:type="paragraph" w:customStyle="1" w:styleId="43">
    <w:name w:val="页眉1"/>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44">
    <w:name w:val="目录 11"/>
    <w:basedOn w:val="1"/>
    <w:qFormat/>
    <w:uiPriority w:val="0"/>
    <w:pPr>
      <w:spacing w:before="120" w:after="120"/>
      <w:jc w:val="left"/>
    </w:pPr>
    <w:rPr>
      <w:b/>
      <w:bCs/>
      <w:caps/>
      <w:sz w:val="20"/>
      <w:szCs w:val="20"/>
    </w:rPr>
  </w:style>
  <w:style w:type="paragraph" w:customStyle="1" w:styleId="45">
    <w:name w:val="脚注文本1"/>
    <w:basedOn w:val="1"/>
    <w:qFormat/>
    <w:uiPriority w:val="0"/>
    <w:rPr>
      <w:sz w:val="20"/>
      <w:szCs w:val="20"/>
    </w:rPr>
  </w:style>
  <w:style w:type="paragraph" w:customStyle="1" w:styleId="46">
    <w:name w:val="信息标题1"/>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customStyle="1" w:styleId="47">
    <w:name w:val="文档正文"/>
    <w:basedOn w:val="1"/>
    <w:qFormat/>
    <w:uiPriority w:val="0"/>
    <w:pPr>
      <w:spacing w:line="480" w:lineRule="atLeast"/>
      <w:ind w:firstLine="567"/>
    </w:pPr>
    <w:rPr>
      <w:rFonts w:ascii="仿宋_GB2312" w:eastAsia="仿宋_GB2312"/>
      <w:kern w:val="0"/>
      <w:sz w:val="28"/>
      <w:szCs w:val="20"/>
    </w:rPr>
  </w:style>
  <w:style w:type="paragraph" w:customStyle="1" w:styleId="48">
    <w:name w:val="样式1"/>
    <w:basedOn w:val="37"/>
    <w:qFormat/>
    <w:uiPriority w:val="0"/>
    <w:pPr>
      <w:spacing w:before="120" w:after="120" w:line="300" w:lineRule="auto"/>
    </w:pPr>
    <w:rPr>
      <w:rFonts w:ascii="Arial Unicode MS" w:hAnsi="Arial Unicode MS"/>
      <w:b/>
      <w:sz w:val="24"/>
      <w:szCs w:val="20"/>
    </w:rPr>
  </w:style>
  <w:style w:type="paragraph" w:customStyle="1" w:styleId="49">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
    <w:name w:val="标题1"/>
    <w:basedOn w:val="1"/>
    <w:qFormat/>
    <w:uiPriority w:val="0"/>
    <w:pPr>
      <w:spacing w:before="240" w:after="60" w:line="420" w:lineRule="atLeast"/>
      <w:jc w:val="center"/>
      <w:outlineLvl w:val="0"/>
    </w:pPr>
    <w:rPr>
      <w:rFonts w:ascii="Arial" w:hAnsi="Arial" w:eastAsia="宋体"/>
      <w:b/>
      <w:kern w:val="0"/>
      <w:sz w:val="32"/>
      <w:szCs w:val="20"/>
      <w:lang w:val="zh-CN"/>
    </w:rPr>
  </w:style>
  <w:style w:type="paragraph" w:customStyle="1" w:styleId="51">
    <w:name w:val="正文首行缩进1"/>
    <w:basedOn w:val="33"/>
    <w:qFormat/>
    <w:uiPriority w:val="0"/>
    <w:pPr>
      <w:ind w:firstLine="420" w:firstLineChars="100"/>
    </w:pPr>
  </w:style>
  <w:style w:type="paragraph" w:customStyle="1" w:styleId="52">
    <w:name w:val="正文首行缩进 21"/>
    <w:basedOn w:val="34"/>
    <w:qFormat/>
    <w:uiPriority w:val="0"/>
    <w:pPr>
      <w:ind w:firstLine="420" w:firstLineChars="200"/>
    </w:pPr>
    <w:rPr>
      <w:rFonts w:ascii="Calibri" w:hAnsi="Calibri"/>
      <w:kern w:val="0"/>
      <w:sz w:val="20"/>
    </w:rPr>
  </w:style>
  <w:style w:type="table" w:customStyle="1" w:styleId="53">
    <w:name w:val="网格型1"/>
    <w:basedOn w:val="25"/>
    <w:qFormat/>
    <w:uiPriority w:val="0"/>
    <w:pPr>
      <w:widowControl w:val="0"/>
      <w:jc w:val="both"/>
    </w:pPr>
  </w:style>
  <w:style w:type="character" w:customStyle="1" w:styleId="54">
    <w:name w:val="页码1"/>
    <w:link w:val="1"/>
    <w:qFormat/>
    <w:uiPriority w:val="0"/>
  </w:style>
  <w:style w:type="character" w:customStyle="1" w:styleId="55">
    <w:name w:val="访问过的超链接"/>
    <w:link w:val="1"/>
    <w:qFormat/>
    <w:uiPriority w:val="0"/>
    <w:rPr>
      <w:color w:val="000000"/>
      <w:u w:val="none"/>
    </w:rPr>
  </w:style>
  <w:style w:type="character" w:customStyle="1" w:styleId="56">
    <w:name w:val="超链接1"/>
    <w:link w:val="1"/>
    <w:qFormat/>
    <w:uiPriority w:val="0"/>
    <w:rPr>
      <w:color w:val="262626"/>
      <w:sz w:val="18"/>
      <w:szCs w:val="18"/>
      <w:u w:val="none"/>
    </w:rPr>
  </w:style>
  <w:style w:type="paragraph" w:customStyle="1" w:styleId="57">
    <w:name w:val="Default"/>
    <w:basedOn w:val="38"/>
    <w:qFormat/>
    <w:uiPriority w:val="0"/>
    <w:pPr>
      <w:widowControl w:val="0"/>
      <w:autoSpaceDE w:val="0"/>
      <w:autoSpaceDN w:val="0"/>
    </w:pPr>
    <w:rPr>
      <w:rFonts w:ascii="宋体"/>
      <w:color w:val="000000"/>
      <w:sz w:val="24"/>
      <w:szCs w:val="24"/>
      <w:lang w:val="en-US" w:eastAsia="zh-CN" w:bidi="ar-SA"/>
    </w:rPr>
  </w:style>
  <w:style w:type="paragraph" w:customStyle="1" w:styleId="58">
    <w:name w:val="我的正文"/>
    <w:basedOn w:val="34"/>
    <w:qFormat/>
    <w:uiPriority w:val="0"/>
    <w:pPr>
      <w:spacing w:line="500" w:lineRule="exact"/>
      <w:ind w:firstLine="480"/>
    </w:pPr>
    <w:rPr>
      <w:rFonts w:ascii="Calibri" w:hAnsi="Calibri"/>
      <w:sz w:val="24"/>
      <w:szCs w:val="20"/>
    </w:rPr>
  </w:style>
  <w:style w:type="paragraph" w:customStyle="1" w:styleId="59">
    <w:name w:val="BodyText1I2"/>
    <w:basedOn w:val="60"/>
    <w:qFormat/>
    <w:uiPriority w:val="0"/>
    <w:pPr>
      <w:spacing w:after="120"/>
      <w:ind w:left="420" w:leftChars="200" w:firstLine="420" w:firstLineChars="200"/>
      <w:jc w:val="both"/>
    </w:pPr>
    <w:rPr>
      <w:rFonts w:ascii="Times New Roman"/>
    </w:rPr>
  </w:style>
  <w:style w:type="paragraph" w:customStyle="1" w:styleId="60">
    <w:name w:val="BodyTextIndent"/>
    <w:basedOn w:val="1"/>
    <w:qFormat/>
    <w:uiPriority w:val="0"/>
    <w:pPr>
      <w:spacing w:after="120"/>
      <w:ind w:left="420" w:leftChars="200"/>
      <w:jc w:val="both"/>
    </w:pPr>
  </w:style>
  <w:style w:type="character" w:customStyle="1" w:styleId="61">
    <w:name w:val="NormalCharacter"/>
    <w:link w:val="1"/>
    <w:qFormat/>
    <w:uiPriority w:val="0"/>
    <w:rPr>
      <w:rFonts w:ascii="Times New Roman" w:hAnsi="Times New Roman" w:eastAsia="宋体"/>
      <w:kern w:val="2"/>
      <w:sz w:val="21"/>
      <w:szCs w:val="24"/>
      <w:lang w:val="en-US" w:eastAsia="zh-CN" w:bidi="ar-SA"/>
    </w:rPr>
  </w:style>
  <w:style w:type="paragraph" w:customStyle="1" w:styleId="62">
    <w:name w:val="p0"/>
    <w:basedOn w:val="1"/>
    <w:qFormat/>
    <w:uiPriority w:val="0"/>
    <w:pPr>
      <w:widowControl/>
    </w:pPr>
    <w:rPr>
      <w:kern w:val="0"/>
      <w:szCs w:val="21"/>
    </w:rPr>
  </w:style>
  <w:style w:type="paragraph" w:customStyle="1" w:styleId="63">
    <w:name w:val="样式 标题 2 + Times New Roman 四号 非加粗 段前: 5 磅 段后: 0 磅 行距: 固定值 20..."/>
    <w:basedOn w:val="21"/>
    <w:qFormat/>
    <w:uiPriority w:val="0"/>
    <w:pPr>
      <w:spacing w:before="100" w:after="0" w:line="400" w:lineRule="exact"/>
    </w:pPr>
    <w:rPr>
      <w:rFonts w:ascii="Times New Roman" w:hAnsi="Times New Roman"/>
      <w:b w:val="0"/>
      <w:bCs w:val="0"/>
      <w:sz w:val="28"/>
      <w:szCs w:val="20"/>
    </w:rPr>
  </w:style>
  <w:style w:type="paragraph" w:customStyle="1" w:styleId="64">
    <w:name w:val="*正文"/>
    <w:basedOn w:val="1"/>
    <w:qFormat/>
    <w:uiPriority w:val="0"/>
    <w:pPr>
      <w:widowControl/>
      <w:ind w:firstLine="482"/>
    </w:pPr>
    <w:rPr>
      <w:rFonts w:ascii="微软雅黑" w:hAnsi="微软雅黑" w:eastAsia="微软雅黑"/>
      <w:kern w:val="0"/>
      <w:szCs w:val="20"/>
    </w:rPr>
  </w:style>
  <w:style w:type="paragraph" w:customStyle="1" w:styleId="65">
    <w:name w:val="列出段落"/>
    <w:basedOn w:val="1"/>
    <w:qFormat/>
    <w:uiPriority w:val="0"/>
    <w:pPr>
      <w:ind w:left="818" w:firstLine="420"/>
    </w:pPr>
  </w:style>
  <w:style w:type="paragraph" w:customStyle="1" w:styleId="66">
    <w:name w:val="无间隔1"/>
    <w:basedOn w:val="1"/>
    <w:qFormat/>
    <w:uiPriority w:val="0"/>
    <w:pPr>
      <w:spacing w:line="400" w:lineRule="exact"/>
    </w:pPr>
    <w:rPr>
      <w:sz w:val="24"/>
      <w:szCs w:val="24"/>
    </w:rPr>
  </w:style>
  <w:style w:type="paragraph" w:customStyle="1" w:styleId="67">
    <w:name w:val="MSG_EN_FONT_STYLE_NAME_TEMPLATE_ROLE_NUMBER MSG_EN_FONT_STYLE_NAME_BY_ROLE_TEXT 21"/>
    <w:basedOn w:val="1"/>
    <w:qFormat/>
    <w:uiPriority w:val="0"/>
    <w:pPr>
      <w:shd w:val="clear" w:color="auto" w:fill="FFFFFF"/>
      <w:spacing w:before="240" w:line="355" w:lineRule="exact"/>
      <w:jc w:val="left"/>
    </w:pPr>
    <w:rPr>
      <w:rFonts w:ascii="宋体" w:hAnsi="宋体"/>
      <w:szCs w:val="22"/>
    </w:rPr>
  </w:style>
  <w:style w:type="paragraph" w:customStyle="1" w:styleId="68">
    <w:name w:val="Table Paragraph"/>
    <w:basedOn w:val="1"/>
    <w:qFormat/>
    <w:uiPriority w:val="0"/>
  </w:style>
  <w:style w:type="paragraph" w:customStyle="1" w:styleId="69">
    <w:name w:val="Char1 Char Char Char"/>
    <w:basedOn w:val="1"/>
    <w:qFormat/>
    <w:uiPriority w:val="0"/>
    <w:rPr>
      <w:rFonts w:ascii="Tahoma" w:hAnsi="Tahoma"/>
      <w:sz w:val="24"/>
      <w:szCs w:val="20"/>
    </w:rPr>
  </w:style>
  <w:style w:type="paragraph" w:customStyle="1" w:styleId="70">
    <w:name w:val="MSG_EN_FONT_STYLE_NAME_TEMPLATE_ROLE_LEVEL MSG_EN_FONT_STYLE_NAME_BY_ROLE_HEADING 5"/>
    <w:basedOn w:val="1"/>
    <w:qFormat/>
    <w:uiPriority w:val="0"/>
    <w:pPr>
      <w:shd w:val="clear" w:color="auto" w:fill="FFFFFF"/>
      <w:spacing w:before="180" w:line="466" w:lineRule="exact"/>
      <w:jc w:val="left"/>
      <w:outlineLvl w:val="4"/>
    </w:pPr>
    <w:rPr>
      <w:rFonts w:ascii="宋体" w:hAnsi="宋体"/>
      <w:b/>
      <w:bCs/>
      <w:szCs w:val="22"/>
    </w:rPr>
  </w:style>
  <w:style w:type="paragraph" w:customStyle="1" w:styleId="71">
    <w:name w:val="Heading1"/>
    <w:basedOn w:val="1"/>
    <w:qFormat/>
    <w:uiPriority w:val="0"/>
    <w:pPr>
      <w:keepNext/>
      <w:jc w:val="center"/>
    </w:pPr>
    <w:rPr>
      <w:rFonts w:ascii="Calibri" w:hAnsi="Calibri" w:eastAsia="宋体"/>
      <w:b/>
      <w:bCs/>
      <w:kern w:val="2"/>
      <w:sz w:val="24"/>
      <w:szCs w:val="20"/>
      <w:lang w:val="en-US" w:eastAsia="zh-CN" w:bidi="ar-SA"/>
    </w:rPr>
  </w:style>
  <w:style w:type="paragraph" w:customStyle="1" w:styleId="72">
    <w:name w:val="UserStyle_4"/>
    <w:qFormat/>
    <w:uiPriority w:val="0"/>
    <w:pPr>
      <w:snapToGrid w:val="0"/>
      <w:spacing w:before="120" w:after="120" w:line="360" w:lineRule="auto"/>
      <w:ind w:firstLine="480" w:firstLineChars="200"/>
      <w:jc w:val="both"/>
    </w:pPr>
    <w:rPr>
      <w:rFonts w:ascii="Times New Roman" w:hAnsi="Times New Roman" w:eastAsia="仿宋_GB2312" w:cs="Times New Roman"/>
      <w:sz w:val="24"/>
      <w:szCs w:val="24"/>
      <w:lang w:val="en-US" w:eastAsia="zh-CN" w:bidi="ar-SA"/>
    </w:rPr>
  </w:style>
  <w:style w:type="character" w:customStyle="1" w:styleId="73">
    <w:name w:val="icon_ds"/>
    <w:link w:val="1"/>
    <w:qFormat/>
    <w:uiPriority w:val="0"/>
    <w:rPr>
      <w:sz w:val="14"/>
      <w:szCs w:val="14"/>
    </w:rPr>
  </w:style>
  <w:style w:type="character" w:customStyle="1" w:styleId="74">
    <w:name w:val="icon_ds1"/>
    <w:link w:val="1"/>
    <w:qFormat/>
    <w:uiPriority w:val="0"/>
  </w:style>
  <w:style w:type="character" w:customStyle="1" w:styleId="75">
    <w:name w:val="xiadan"/>
    <w:link w:val="1"/>
    <w:qFormat/>
    <w:uiPriority w:val="0"/>
    <w:rPr>
      <w:shd w:val="clear" w:color="auto" w:fill="E4393C"/>
    </w:rPr>
  </w:style>
  <w:style w:type="character" w:customStyle="1" w:styleId="76">
    <w:name w:val="first-child"/>
    <w:link w:val="1"/>
    <w:qFormat/>
    <w:uiPriority w:val="0"/>
    <w:rPr>
      <w:color w:val="1F3149"/>
      <w:sz w:val="16"/>
      <w:szCs w:val="16"/>
    </w:rPr>
  </w:style>
  <w:style w:type="character" w:customStyle="1" w:styleId="77">
    <w:name w:val="first-child1"/>
    <w:link w:val="1"/>
    <w:qFormat/>
    <w:uiPriority w:val="0"/>
    <w:rPr>
      <w:color w:val="1F3149"/>
      <w:sz w:val="16"/>
      <w:szCs w:val="16"/>
    </w:rPr>
  </w:style>
  <w:style w:type="character" w:customStyle="1" w:styleId="78">
    <w:name w:val="fr"/>
    <w:link w:val="1"/>
    <w:qFormat/>
    <w:uiPriority w:val="0"/>
  </w:style>
  <w:style w:type="character" w:customStyle="1" w:styleId="79">
    <w:name w:val="icon_gys"/>
    <w:link w:val="1"/>
    <w:qFormat/>
    <w:uiPriority w:val="0"/>
    <w:rPr>
      <w:sz w:val="14"/>
      <w:szCs w:val="14"/>
    </w:rPr>
  </w:style>
  <w:style w:type="character" w:customStyle="1" w:styleId="80">
    <w:name w:val="first-child2"/>
    <w:link w:val="1"/>
    <w:qFormat/>
    <w:uiPriority w:val="0"/>
    <w:rPr>
      <w:color w:val="1F3149"/>
      <w:sz w:val="16"/>
      <w:szCs w:val="16"/>
    </w:rPr>
  </w:style>
  <w:style w:type="character" w:customStyle="1" w:styleId="81">
    <w:name w:val="font31"/>
    <w:link w:val="1"/>
    <w:qFormat/>
    <w:uiPriority w:val="0"/>
    <w:rPr>
      <w:rFonts w:ascii="宋体" w:hAnsi="宋体" w:eastAsia="宋体"/>
      <w:color w:val="000000"/>
      <w:sz w:val="20"/>
      <w:szCs w:val="20"/>
      <w:u w:val="none"/>
    </w:rPr>
  </w:style>
  <w:style w:type="character" w:customStyle="1" w:styleId="82">
    <w:name w:val="font21"/>
    <w:link w:val="1"/>
    <w:qFormat/>
    <w:uiPriority w:val="0"/>
    <w:rPr>
      <w:rFonts w:hint="eastAsia" w:ascii="宋体" w:hAnsi="宋体" w:eastAsia="宋体"/>
      <w:color w:val="000000"/>
      <w:sz w:val="20"/>
      <w:szCs w:val="20"/>
      <w:u w:val="none"/>
    </w:rPr>
  </w:style>
  <w:style w:type="character" w:customStyle="1" w:styleId="83">
    <w:name w:val="font11"/>
    <w:link w:val="1"/>
    <w:qFormat/>
    <w:uiPriority w:val="0"/>
    <w:rPr>
      <w:rFonts w:ascii="宋体" w:hAnsi="宋体" w:eastAsia="宋体"/>
      <w:color w:val="000000"/>
      <w:sz w:val="20"/>
      <w:szCs w:val="20"/>
      <w:u w:val="none"/>
    </w:rPr>
  </w:style>
  <w:style w:type="character" w:customStyle="1" w:styleId="84">
    <w:name w:val="font51"/>
    <w:link w:val="1"/>
    <w:qFormat/>
    <w:uiPriority w:val="0"/>
    <w:rPr>
      <w:rFonts w:hint="eastAsia" w:ascii="宋体" w:hAnsi="宋体" w:eastAsia="宋体"/>
      <w:color w:val="000000"/>
      <w:sz w:val="20"/>
      <w:szCs w:val="20"/>
      <w:u w:val="none"/>
    </w:rPr>
  </w:style>
  <w:style w:type="character" w:customStyle="1" w:styleId="85">
    <w:name w:val="gb-jt"/>
    <w:link w:val="1"/>
    <w:qFormat/>
    <w:uiPriority w:val="0"/>
  </w:style>
  <w:style w:type="character" w:customStyle="1" w:styleId="86">
    <w:name w:val="font41"/>
    <w:link w:val="1"/>
    <w:qFormat/>
    <w:uiPriority w:val="0"/>
    <w:rPr>
      <w:rFonts w:hint="eastAsia" w:ascii="微软雅黑" w:hAnsi="微软雅黑" w:eastAsia="微软雅黑"/>
      <w:color w:val="FF0000"/>
      <w:sz w:val="20"/>
      <w:szCs w:val="20"/>
      <w:u w:val="none"/>
    </w:rPr>
  </w:style>
  <w:style w:type="paragraph" w:customStyle="1" w:styleId="87">
    <w:name w:val="[Normal]"/>
    <w:qFormat/>
    <w:uiPriority w:val="0"/>
    <w:rPr>
      <w:rFonts w:ascii="宋体" w:hAnsi="宋体" w:eastAsia="宋体" w:cs="Times New Roman"/>
      <w:sz w:val="24"/>
      <w:szCs w:val="22"/>
      <w:lang w:val="zh-CN" w:eastAsia="zh-CN" w:bidi="ar-SA"/>
    </w:rPr>
  </w:style>
  <w:style w:type="character" w:customStyle="1" w:styleId="88">
    <w:name w:val="a_p_3"/>
    <w:link w:val="1"/>
    <w:qFormat/>
    <w:uiPriority w:val="0"/>
    <w:rPr>
      <w:sz w:val="13"/>
      <w:szCs w:val="13"/>
    </w:rPr>
  </w:style>
  <w:style w:type="character" w:customStyle="1" w:styleId="89">
    <w:name w:val="a_p_1"/>
    <w:link w:val="1"/>
    <w:qFormat/>
    <w:uiPriority w:val="0"/>
    <w:rPr>
      <w:sz w:val="13"/>
      <w:szCs w:val="13"/>
    </w:rPr>
  </w:style>
  <w:style w:type="character" w:customStyle="1" w:styleId="90">
    <w:name w:val="a_p_2"/>
    <w:link w:val="1"/>
    <w:qFormat/>
    <w:uiPriority w:val="0"/>
    <w:rPr>
      <w:sz w:val="13"/>
      <w:szCs w:val="13"/>
    </w:rPr>
  </w:style>
  <w:style w:type="character" w:customStyle="1" w:styleId="91">
    <w:name w:val="a_p_21"/>
    <w:link w:val="1"/>
    <w:qFormat/>
    <w:uiPriority w:val="0"/>
  </w:style>
  <w:style w:type="character" w:customStyle="1" w:styleId="92">
    <w:name w:val="ul_li_a_1"/>
    <w:link w:val="1"/>
    <w:qFormat/>
    <w:uiPriority w:val="0"/>
    <w:rPr>
      <w:b/>
      <w:bCs/>
      <w:color w:val="FFFFFF"/>
    </w:rPr>
  </w:style>
  <w:style w:type="character" w:customStyle="1" w:styleId="93">
    <w:name w:val="exap"/>
    <w:link w:val="1"/>
    <w:qFormat/>
    <w:uiPriority w:val="0"/>
    <w:rPr>
      <w:sz w:val="13"/>
      <w:szCs w:val="13"/>
    </w:rPr>
  </w:style>
  <w:style w:type="paragraph" w:customStyle="1" w:styleId="94">
    <w:name w:val="Table Text"/>
    <w:basedOn w:val="1"/>
    <w:semiHidden/>
    <w:qFormat/>
    <w:uiPriority w:val="0"/>
    <w:rPr>
      <w:rFonts w:ascii="宋体" w:hAnsi="宋体" w:eastAsia="宋体"/>
      <w:sz w:val="20"/>
      <w:szCs w:val="20"/>
    </w:rPr>
  </w:style>
  <w:style w:type="table" w:customStyle="1" w:styleId="95">
    <w:name w:val="Table Normal"/>
    <w:qFormat/>
    <w:uiPriority w:val="0"/>
    <w:rPr>
      <w:lang w:val="en-US" w:eastAsia="zh-CN" w:bidi="ar-SA"/>
    </w:rPr>
  </w:style>
  <w:style w:type="paragraph" w:customStyle="1" w:styleId="96">
    <w:name w:val="正文_1_1_0"/>
    <w:next w:val="97"/>
    <w:qFormat/>
    <w:uiPriority w:val="0"/>
    <w:pPr>
      <w:widowControl w:val="0"/>
      <w:jc w:val="both"/>
    </w:pPr>
    <w:rPr>
      <w:rFonts w:ascii="Calibri" w:hAnsi="Calibri" w:eastAsia="宋体" w:cs="Times New Roman"/>
      <w:kern w:val="2"/>
      <w:sz w:val="21"/>
      <w:szCs w:val="22"/>
    </w:rPr>
  </w:style>
  <w:style w:type="paragraph" w:customStyle="1" w:styleId="97">
    <w:name w:val="列表 2_1_0"/>
    <w:basedOn w:val="96"/>
    <w:qFormat/>
    <w:uiPriority w:val="0"/>
    <w:pPr>
      <w:ind w:left="400" w:leftChars="200" w:hanging="200" w:hangingChars="200"/>
    </w:pPr>
    <w:rPr>
      <w:szCs w:val="24"/>
    </w:rPr>
  </w:style>
  <w:style w:type="character" w:customStyle="1" w:styleId="98">
    <w:name w:val="tmpztreemove_arrow"/>
    <w:basedOn w:val="9"/>
    <w:qFormat/>
    <w:uiPriority w:val="0"/>
  </w:style>
  <w:style w:type="character" w:customStyle="1" w:styleId="99">
    <w:name w:val="button"/>
    <w:basedOn w:val="9"/>
    <w:qFormat/>
    <w:uiPriority w:val="0"/>
  </w:style>
  <w:style w:type="character" w:customStyle="1" w:styleId="100">
    <w:name w:val="hover18"/>
    <w:basedOn w:val="9"/>
    <w:qFormat/>
    <w:uiPriority w:val="0"/>
    <w:rPr>
      <w:color w:val="1890FF"/>
    </w:rPr>
  </w:style>
  <w:style w:type="character" w:customStyle="1" w:styleId="101">
    <w:name w:val="layui-laypage-curr"/>
    <w:basedOn w:val="9"/>
    <w:qFormat/>
    <w:uiPriority w:val="0"/>
  </w:style>
  <w:style w:type="character" w:customStyle="1" w:styleId="102">
    <w:name w:val="endflag"/>
    <w:basedOn w:val="9"/>
    <w:qFormat/>
    <w:uiPriority w:val="0"/>
    <w:rPr>
      <w:color w:val="AAAAAA"/>
    </w:rPr>
  </w:style>
  <w:style w:type="character" w:customStyle="1" w:styleId="103">
    <w:name w:val="layui-this2"/>
    <w:basedOn w:val="9"/>
    <w:qFormat/>
    <w:uiPriority w:val="0"/>
    <w:rPr>
      <w:bdr w:val="single" w:color="EEEEEE" w:sz="6" w:space="0"/>
      <w:shd w:val="clear" w:fill="FFFFFF"/>
    </w:rPr>
  </w:style>
  <w:style w:type="character" w:customStyle="1" w:styleId="104">
    <w:name w:val="color-yellow"/>
    <w:basedOn w:val="9"/>
    <w:qFormat/>
    <w:uiPriority w:val="0"/>
    <w:rPr>
      <w:color w:val="FAAD14"/>
      <w:sz w:val="18"/>
      <w:szCs w:val="18"/>
      <w:bdr w:val="single" w:color="FAAD14" w:sz="6" w:space="0"/>
    </w:rPr>
  </w:style>
  <w:style w:type="character" w:customStyle="1" w:styleId="105">
    <w:name w:val="color-yellow1"/>
    <w:basedOn w:val="9"/>
    <w:qFormat/>
    <w:uiPriority w:val="0"/>
    <w:rPr>
      <w:color w:val="FAAD14"/>
      <w:sz w:val="18"/>
      <w:szCs w:val="18"/>
      <w:bdr w:val="single" w:color="FAAD14" w:sz="6" w:space="0"/>
    </w:rPr>
  </w:style>
  <w:style w:type="character" w:customStyle="1" w:styleId="106">
    <w:name w:val="color-blue"/>
    <w:basedOn w:val="9"/>
    <w:qFormat/>
    <w:uiPriority w:val="0"/>
    <w:rPr>
      <w:color w:val="1890FF"/>
      <w:sz w:val="18"/>
      <w:szCs w:val="18"/>
      <w:bdr w:val="single" w:color="1890FF" w:sz="6" w:space="0"/>
    </w:rPr>
  </w:style>
  <w:style w:type="paragraph" w:customStyle="1" w:styleId="107">
    <w:name w:val="_Style 106"/>
    <w:basedOn w:val="1"/>
    <w:next w:val="1"/>
    <w:qFormat/>
    <w:uiPriority w:val="0"/>
    <w:pPr>
      <w:pBdr>
        <w:bottom w:val="single" w:color="auto" w:sz="6" w:space="1"/>
      </w:pBdr>
      <w:jc w:val="center"/>
    </w:pPr>
    <w:rPr>
      <w:rFonts w:ascii="Arial" w:eastAsia="宋体"/>
      <w:vanish/>
      <w:sz w:val="16"/>
    </w:rPr>
  </w:style>
  <w:style w:type="paragraph" w:customStyle="1" w:styleId="108">
    <w:name w:val="_Style 107"/>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58</Pages>
  <Words>16400</Words>
  <Characters>17445</Characters>
  <Lines>0</Lines>
  <Paragraphs>0</Paragraphs>
  <TotalTime>71</TotalTime>
  <ScaleCrop>false</ScaleCrop>
  <LinksUpToDate>false</LinksUpToDate>
  <CharactersWithSpaces>17627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2025-02-26T00:37:00Z</dcterms:created>
  <dc:creator>一年很快</dc:creator>
  <cp:lastModifiedBy>Oo滨</cp:lastModifiedBy>
  <cp:lastPrinted>2025-12-01T07:48:00Z</cp:lastPrinted>
  <dcterms:modified xsi:type="dcterms:W3CDTF">2025-12-03T07:25:41Z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eyJoZGlkIjoiOTE4Njk3MDJmZTFkNjRkMTE5NTFiZDVhNzg4OGQwYmMiLCJ1c2VySWQiOiI4NDIwNjA4In0=</vt:lpwstr>
  </property>
  <property fmtid="{D5CDD505-2E9C-101B-9397-08002B2CF9AE}" pid="3" name="KSOProductBuildVer">
    <vt:lpwstr>2052-12.1.0.24034</vt:lpwstr>
  </property>
  <property fmtid="{D5CDD505-2E9C-101B-9397-08002B2CF9AE}" pid="4" name="ICV">
    <vt:lpwstr>6C8A52CF132140C1B308636DC3A8CFEE_13</vt:lpwstr>
  </property>
</Properties>
</file>